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06688A">
      <w:pPr>
        <w:spacing w:line="0" w:lineRule="atLeast"/>
        <w:ind w:left="-141" w:leftChars="-67" w:firstLine="91" w:firstLineChars="38"/>
        <w:jc w:val="center"/>
        <w:rPr>
          <w:rFonts w:hint="eastAsia" w:ascii="方正仿宋_GBK" w:hAnsi="方正仿宋_GBK" w:eastAsia="方正仿宋_GBK" w:cs="方正仿宋_GBK"/>
          <w:b/>
          <w:bCs/>
          <w:color w:val="auto"/>
          <w:kern w:val="0"/>
          <w:sz w:val="24"/>
          <w:szCs w:val="24"/>
        </w:rPr>
      </w:pPr>
      <w:r>
        <w:rPr>
          <w:rFonts w:hint="eastAsia" w:ascii="方正仿宋_GBK" w:hAnsi="方正仿宋_GBK" w:eastAsia="方正仿宋_GBK" w:cs="方正仿宋_GBK"/>
          <w:color w:val="auto"/>
          <w:sz w:val="24"/>
          <w:szCs w:val="24"/>
          <w:u w:val="single"/>
          <w:lang w:val="en-US" w:eastAsia="zh-CN"/>
        </w:rPr>
        <w:t>心电系统运维</w:t>
      </w:r>
      <w:r>
        <w:rPr>
          <w:rFonts w:hint="eastAsia" w:ascii="方正仿宋_GBK" w:hAnsi="方正仿宋_GBK" w:eastAsia="方正仿宋_GBK" w:cs="方正仿宋_GBK"/>
          <w:b/>
          <w:bCs/>
          <w:color w:val="auto"/>
          <w:kern w:val="0"/>
          <w:sz w:val="24"/>
          <w:szCs w:val="24"/>
        </w:rPr>
        <w:t>项目采购需求</w:t>
      </w:r>
    </w:p>
    <w:p w14:paraId="40619C5C">
      <w:pPr>
        <w:jc w:val="left"/>
        <w:rPr>
          <w:rFonts w:hint="eastAsia" w:ascii="方正仿宋_GBK" w:hAnsi="方正仿宋_GBK" w:eastAsia="方正仿宋_GBK" w:cs="方正仿宋_GBK"/>
          <w:color w:val="auto"/>
          <w:sz w:val="24"/>
          <w:szCs w:val="24"/>
        </w:rPr>
      </w:pPr>
    </w:p>
    <w:p w14:paraId="0221D54A">
      <w:pPr>
        <w:pStyle w:val="69"/>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项目概况</w:t>
      </w:r>
    </w:p>
    <w:p w14:paraId="63BBD24C">
      <w:pPr>
        <w:pStyle w:val="65"/>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基本信息</w:t>
      </w:r>
    </w:p>
    <w:p w14:paraId="615314AC">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项目名称</w:t>
      </w:r>
    </w:p>
    <w:p w14:paraId="6174D24A">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u w:val="single"/>
          <w:lang w:val="en-US" w:eastAsia="zh-CN"/>
        </w:rPr>
        <w:t>心电系统运维</w:t>
      </w:r>
      <w:r>
        <w:rPr>
          <w:rFonts w:hint="eastAsia" w:ascii="方正仿宋_GBK" w:hAnsi="方正仿宋_GBK" w:eastAsia="方正仿宋_GBK" w:cs="方正仿宋_GBK"/>
          <w:color w:val="auto"/>
          <w:sz w:val="24"/>
          <w:szCs w:val="24"/>
        </w:rPr>
        <w:t>服务项目。</w:t>
      </w:r>
    </w:p>
    <w:p w14:paraId="3A02157A">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lang w:eastAsia="zh-CN"/>
        </w:rPr>
        <w:t>需求科室</w:t>
      </w:r>
    </w:p>
    <w:p w14:paraId="17A6DEC1">
      <w:pPr>
        <w:ind w:firstLine="480" w:firstLineChars="200"/>
        <w:jc w:val="left"/>
        <w:rPr>
          <w:rFonts w:hint="eastAsia" w:ascii="方正仿宋_GBK" w:hAnsi="方正仿宋_GBK" w:eastAsia="方正仿宋_GBK" w:cs="方正仿宋_GBK"/>
          <w:color w:val="auto"/>
          <w:sz w:val="24"/>
          <w:szCs w:val="24"/>
          <w:lang w:eastAsia="zh-CN"/>
        </w:rPr>
      </w:pPr>
      <w:r>
        <w:rPr>
          <w:rFonts w:hint="eastAsia" w:ascii="方正仿宋_GBK" w:hAnsi="方正仿宋_GBK" w:eastAsia="方正仿宋_GBK" w:cs="方正仿宋_GBK"/>
          <w:color w:val="auto"/>
          <w:sz w:val="24"/>
          <w:szCs w:val="24"/>
          <w:lang w:eastAsia="zh-CN"/>
        </w:rPr>
        <w:t>功能科、全院各临床医技科室</w:t>
      </w:r>
    </w:p>
    <w:p w14:paraId="18F344B5">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项目总体目标</w:t>
      </w:r>
    </w:p>
    <w:p w14:paraId="19BEFDDE">
      <w:pPr>
        <w:ind w:firstLine="480" w:firstLineChars="200"/>
        <w:jc w:val="left"/>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eastAsia="zh-CN"/>
        </w:rPr>
        <w:t>保证</w:t>
      </w:r>
      <w:r>
        <w:rPr>
          <w:rFonts w:hint="eastAsia" w:ascii="方正仿宋_GBK" w:hAnsi="方正仿宋_GBK" w:eastAsia="方正仿宋_GBK" w:cs="方正仿宋_GBK"/>
          <w:color w:val="auto"/>
          <w:sz w:val="24"/>
          <w:szCs w:val="24"/>
        </w:rPr>
        <w:t>软件系统的正常运行，提高</w:t>
      </w:r>
      <w:r>
        <w:rPr>
          <w:rFonts w:hint="eastAsia" w:ascii="方正仿宋_GBK" w:hAnsi="方正仿宋_GBK" w:eastAsia="方正仿宋_GBK" w:cs="方正仿宋_GBK"/>
          <w:color w:val="auto"/>
          <w:sz w:val="24"/>
          <w:szCs w:val="24"/>
          <w:lang w:eastAsia="zh-CN"/>
        </w:rPr>
        <w:t>系统</w:t>
      </w:r>
      <w:r>
        <w:rPr>
          <w:rFonts w:hint="eastAsia" w:ascii="方正仿宋_GBK" w:hAnsi="方正仿宋_GBK" w:eastAsia="方正仿宋_GBK" w:cs="方正仿宋_GBK"/>
          <w:color w:val="auto"/>
          <w:sz w:val="24"/>
          <w:szCs w:val="24"/>
        </w:rPr>
        <w:t>运行可靠性</w:t>
      </w:r>
      <w:r>
        <w:rPr>
          <w:rFonts w:hint="eastAsia" w:ascii="方正仿宋_GBK" w:hAnsi="方正仿宋_GBK" w:eastAsia="方正仿宋_GBK" w:cs="方正仿宋_GBK"/>
          <w:color w:val="auto"/>
          <w:sz w:val="24"/>
          <w:szCs w:val="24"/>
          <w:lang w:eastAsia="zh-CN"/>
        </w:rPr>
        <w:t>。</w:t>
      </w:r>
    </w:p>
    <w:p w14:paraId="67AD909B">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服务地点</w:t>
      </w:r>
    </w:p>
    <w:p w14:paraId="442D8B36">
      <w:pPr>
        <w:ind w:firstLine="480" w:firstLineChars="200"/>
        <w:jc w:val="left"/>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惠州市第六人民医院</w:t>
      </w:r>
    </w:p>
    <w:p w14:paraId="4E978757">
      <w:pPr>
        <w:ind w:firstLine="480" w:firstLineChars="200"/>
        <w:jc w:val="left"/>
        <w:rPr>
          <w:rFonts w:hint="eastAsia" w:ascii="方正仿宋_GBK" w:hAnsi="方正仿宋_GBK" w:eastAsia="方正仿宋_GBK" w:cs="方正仿宋_GBK"/>
          <w:color w:val="auto"/>
          <w:sz w:val="24"/>
          <w:szCs w:val="24"/>
        </w:rPr>
      </w:pPr>
    </w:p>
    <w:p w14:paraId="275EE0E0">
      <w:pPr>
        <w:pStyle w:val="69"/>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项目预算</w:t>
      </w:r>
    </w:p>
    <w:p w14:paraId="23838D83">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本项目总预算为</w:t>
      </w:r>
      <w:r>
        <w:rPr>
          <w:rFonts w:hint="eastAsia" w:ascii="方正仿宋_GBK" w:hAnsi="方正仿宋_GBK" w:eastAsia="方正仿宋_GBK" w:cs="方正仿宋_GBK"/>
          <w:color w:val="auto"/>
          <w:sz w:val="24"/>
          <w:szCs w:val="24"/>
          <w:u w:val="single"/>
          <w:lang w:val="en-US" w:eastAsia="zh-CN"/>
        </w:rPr>
        <w:t xml:space="preserve">  </w:t>
      </w:r>
      <w:r>
        <w:rPr>
          <w:rFonts w:hint="eastAsia" w:ascii="方正仿宋_GBK" w:hAnsi="方正仿宋_GBK" w:eastAsia="方正仿宋_GBK" w:cs="方正仿宋_GBK"/>
          <w:color w:val="auto"/>
          <w:sz w:val="24"/>
          <w:szCs w:val="24"/>
        </w:rPr>
        <w:t>万元。</w:t>
      </w:r>
    </w:p>
    <w:p w14:paraId="7E8E282E">
      <w:pPr>
        <w:pStyle w:val="69"/>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服务期限</w:t>
      </w:r>
    </w:p>
    <w:p w14:paraId="5C6F09E6">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本项目服务期为</w:t>
      </w:r>
      <w:r>
        <w:rPr>
          <w:rFonts w:hint="eastAsia" w:ascii="方正仿宋_GBK" w:hAnsi="方正仿宋_GBK" w:eastAsia="方正仿宋_GBK" w:cs="方正仿宋_GBK"/>
          <w:color w:val="auto"/>
          <w:sz w:val="24"/>
          <w:szCs w:val="24"/>
          <w:lang w:val="en-US" w:eastAsia="zh-CN"/>
        </w:rPr>
        <w:t>24</w:t>
      </w:r>
      <w:r>
        <w:rPr>
          <w:rFonts w:hint="eastAsia" w:ascii="方正仿宋_GBK" w:hAnsi="方正仿宋_GBK" w:eastAsia="方正仿宋_GBK" w:cs="方正仿宋_GBK"/>
          <w:color w:val="auto"/>
          <w:sz w:val="24"/>
          <w:szCs w:val="24"/>
        </w:rPr>
        <w:t>个月，具体时间以项目合同签订时间为准。</w:t>
      </w:r>
    </w:p>
    <w:p w14:paraId="1884F6FD">
      <w:pPr>
        <w:pStyle w:val="69"/>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服务内容</w:t>
      </w:r>
    </w:p>
    <w:p w14:paraId="287DB9ED">
      <w:pPr>
        <w:pStyle w:val="65"/>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运行维护服务</w:t>
      </w:r>
    </w:p>
    <w:p w14:paraId="614C886C">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软件系统运行维护服务</w:t>
      </w:r>
    </w:p>
    <w:p w14:paraId="0A0C6C73">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对</w:t>
      </w:r>
      <w:r>
        <w:rPr>
          <w:rFonts w:hint="eastAsia" w:ascii="方正仿宋_GBK" w:hAnsi="方正仿宋_GBK" w:eastAsia="方正仿宋_GBK" w:cs="方正仿宋_GBK"/>
          <w:color w:val="auto"/>
          <w:sz w:val="24"/>
          <w:szCs w:val="24"/>
          <w:u w:val="single"/>
          <w:lang w:val="en-US" w:eastAsia="zh-CN"/>
        </w:rPr>
        <w:t>心电</w:t>
      </w:r>
      <w:r>
        <w:rPr>
          <w:rFonts w:hint="eastAsia" w:ascii="方正仿宋_GBK" w:hAnsi="方正仿宋_GBK" w:eastAsia="方正仿宋_GBK" w:cs="方正仿宋_GBK"/>
          <w:color w:val="auto"/>
          <w:sz w:val="24"/>
          <w:szCs w:val="24"/>
        </w:rPr>
        <w:t>系统提供运行维护服务，包括系统巡检、故障响应处理、系统性能调优、系统功能配置完善等。</w:t>
      </w:r>
    </w:p>
    <w:p w14:paraId="4E049ACD">
      <w:pPr>
        <w:ind w:firstLine="480" w:firstLineChars="20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具体运维对象如下表：</w:t>
      </w:r>
    </w:p>
    <w:tbl>
      <w:tblPr>
        <w:tblStyle w:val="34"/>
        <w:tblW w:w="499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2"/>
        <w:gridCol w:w="1753"/>
        <w:gridCol w:w="3410"/>
        <w:gridCol w:w="3420"/>
      </w:tblGrid>
      <w:tr w14:paraId="0E75E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0" w:hRule="atLeast"/>
          <w:jc w:val="center"/>
        </w:trPr>
        <w:tc>
          <w:tcPr>
            <w:tcW w:w="373" w:type="pct"/>
            <w:noWrap w:val="0"/>
            <w:vAlign w:val="center"/>
          </w:tcPr>
          <w:p w14:paraId="0B39C58E">
            <w:pPr>
              <w:widowControl/>
              <w:spacing w:line="360" w:lineRule="auto"/>
              <w:jc w:val="center"/>
              <w:rPr>
                <w:rFonts w:hint="eastAsia" w:ascii="楷体_GB2312" w:hAnsi="宋体" w:eastAsia="楷体_GB2312" w:cs="宋体"/>
                <w:b/>
                <w:bCs/>
                <w:color w:val="000000"/>
                <w:kern w:val="0"/>
                <w:sz w:val="24"/>
                <w:szCs w:val="24"/>
              </w:rPr>
            </w:pPr>
            <w:r>
              <w:rPr>
                <w:rFonts w:hint="eastAsia" w:ascii="楷体_GB2312" w:hAnsi="宋体" w:eastAsia="楷体_GB2312" w:cs="宋体"/>
                <w:b/>
                <w:bCs/>
                <w:color w:val="000000"/>
                <w:kern w:val="0"/>
                <w:sz w:val="24"/>
                <w:szCs w:val="24"/>
              </w:rPr>
              <w:t>序号</w:t>
            </w:r>
          </w:p>
        </w:tc>
        <w:tc>
          <w:tcPr>
            <w:tcW w:w="945" w:type="pct"/>
            <w:noWrap w:val="0"/>
            <w:vAlign w:val="center"/>
          </w:tcPr>
          <w:p w14:paraId="1B116F4E">
            <w:pPr>
              <w:widowControl/>
              <w:spacing w:line="360" w:lineRule="auto"/>
              <w:jc w:val="center"/>
              <w:rPr>
                <w:rFonts w:hint="eastAsia" w:ascii="楷体_GB2312" w:hAnsi="宋体" w:eastAsia="楷体_GB2312" w:cs="宋体"/>
                <w:b/>
                <w:bCs/>
                <w:color w:val="000000"/>
                <w:kern w:val="0"/>
                <w:sz w:val="24"/>
                <w:szCs w:val="24"/>
              </w:rPr>
            </w:pPr>
            <w:r>
              <w:rPr>
                <w:rFonts w:hint="eastAsia" w:ascii="楷体_GB2312" w:hAnsi="宋体" w:eastAsia="楷体_GB2312" w:cs="宋体"/>
                <w:b/>
                <w:bCs/>
                <w:color w:val="000000"/>
                <w:kern w:val="0"/>
                <w:sz w:val="24"/>
                <w:szCs w:val="24"/>
              </w:rPr>
              <w:t>模块名称</w:t>
            </w:r>
          </w:p>
        </w:tc>
        <w:tc>
          <w:tcPr>
            <w:tcW w:w="1838" w:type="pct"/>
            <w:noWrap w:val="0"/>
            <w:vAlign w:val="center"/>
          </w:tcPr>
          <w:p w14:paraId="0850C247">
            <w:pPr>
              <w:widowControl/>
              <w:spacing w:line="360" w:lineRule="auto"/>
              <w:jc w:val="center"/>
              <w:rPr>
                <w:rFonts w:hint="eastAsia" w:ascii="楷体_GB2312" w:hAnsi="宋体" w:eastAsia="楷体_GB2312" w:cs="宋体"/>
                <w:b/>
                <w:bCs/>
                <w:color w:val="000000"/>
                <w:kern w:val="0"/>
                <w:sz w:val="24"/>
                <w:szCs w:val="24"/>
                <w:lang w:eastAsia="zh-CN"/>
              </w:rPr>
            </w:pPr>
            <w:r>
              <w:rPr>
                <w:rFonts w:hint="eastAsia" w:ascii="楷体_GB2312" w:hAnsi="宋体" w:eastAsia="楷体_GB2312" w:cs="宋体"/>
                <w:b/>
                <w:bCs/>
                <w:color w:val="000000"/>
                <w:kern w:val="0"/>
                <w:sz w:val="24"/>
                <w:szCs w:val="24"/>
                <w:lang w:eastAsia="zh-CN"/>
              </w:rPr>
              <w:t>模块功能</w:t>
            </w:r>
          </w:p>
        </w:tc>
        <w:tc>
          <w:tcPr>
            <w:tcW w:w="1843" w:type="pct"/>
            <w:noWrap w:val="0"/>
            <w:vAlign w:val="center"/>
          </w:tcPr>
          <w:p w14:paraId="50C6E47A">
            <w:pPr>
              <w:widowControl/>
              <w:spacing w:line="360" w:lineRule="auto"/>
              <w:jc w:val="center"/>
              <w:rPr>
                <w:rFonts w:hint="eastAsia" w:ascii="楷体_GB2312" w:hAnsi="宋体" w:eastAsia="楷体_GB2312" w:cs="宋体"/>
                <w:b/>
                <w:bCs/>
                <w:color w:val="000000"/>
                <w:kern w:val="0"/>
                <w:sz w:val="24"/>
                <w:szCs w:val="24"/>
              </w:rPr>
            </w:pPr>
            <w:r>
              <w:rPr>
                <w:rFonts w:hint="eastAsia" w:ascii="楷体_GB2312" w:hAnsi="宋体" w:eastAsia="楷体_GB2312" w:cs="宋体"/>
                <w:b/>
                <w:bCs/>
                <w:color w:val="000000"/>
                <w:kern w:val="0"/>
                <w:sz w:val="24"/>
                <w:szCs w:val="24"/>
              </w:rPr>
              <w:t>细化功能</w:t>
            </w:r>
          </w:p>
        </w:tc>
      </w:tr>
      <w:tr w14:paraId="46145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restart"/>
            <w:noWrap w:val="0"/>
            <w:vAlign w:val="center"/>
          </w:tcPr>
          <w:p w14:paraId="0CB83AAA">
            <w:pPr>
              <w:widowControl/>
              <w:spacing w:line="360" w:lineRule="auto"/>
              <w:jc w:val="center"/>
              <w:rPr>
                <w:rFonts w:hint="eastAsia" w:ascii="楷体_GB2312" w:hAnsi="宋体" w:eastAsia="楷体_GB2312" w:cs="宋体"/>
                <w:color w:val="000000"/>
                <w:kern w:val="0"/>
                <w:sz w:val="24"/>
                <w:szCs w:val="24"/>
              </w:rPr>
            </w:pPr>
            <w:r>
              <w:rPr>
                <w:rFonts w:hint="eastAsia" w:ascii="楷体_GB2312" w:hAnsi="宋体" w:eastAsia="楷体_GB2312" w:cs="宋体"/>
                <w:color w:val="000000"/>
                <w:kern w:val="0"/>
                <w:sz w:val="24"/>
                <w:szCs w:val="24"/>
              </w:rPr>
              <w:t>1</w:t>
            </w:r>
          </w:p>
        </w:tc>
        <w:tc>
          <w:tcPr>
            <w:tcW w:w="945" w:type="pct"/>
            <w:vMerge w:val="restart"/>
            <w:noWrap w:val="0"/>
            <w:vAlign w:val="center"/>
          </w:tcPr>
          <w:p w14:paraId="2ABFD3CE">
            <w:pPr>
              <w:pStyle w:val="19"/>
              <w:jc w:val="both"/>
              <w:rPr>
                <w:rFonts w:hint="default" w:ascii="楷体_GB2312" w:hAnsi="宋体" w:eastAsia="楷体_GB2312" w:cs="宋体"/>
                <w:color w:val="000000"/>
                <w:kern w:val="0"/>
                <w:sz w:val="24"/>
                <w:szCs w:val="24"/>
                <w:lang w:val="en-US" w:eastAsia="zh-CN"/>
              </w:rPr>
            </w:pPr>
            <w:r>
              <w:rPr>
                <w:rFonts w:hint="eastAsia" w:ascii="楷体_GB2312" w:hAnsi="宋体" w:eastAsia="楷体_GB2312" w:cs="宋体"/>
                <w:color w:val="000000"/>
                <w:kern w:val="0"/>
                <w:sz w:val="24"/>
                <w:szCs w:val="24"/>
                <w:lang w:val="en-US" w:eastAsia="zh-CN"/>
              </w:rPr>
              <w:t>医疗服务</w:t>
            </w:r>
          </w:p>
        </w:tc>
        <w:tc>
          <w:tcPr>
            <w:tcW w:w="1838" w:type="pct"/>
            <w:vMerge w:val="restart"/>
            <w:noWrap w:val="0"/>
            <w:vAlign w:val="center"/>
          </w:tcPr>
          <w:p w14:paraId="373B5046">
            <w:pPr>
              <w:pStyle w:val="19"/>
              <w:jc w:val="center"/>
              <w:rPr>
                <w:rFonts w:hint="default" w:ascii="楷体_GB2312" w:hAnsi="宋体" w:eastAsia="楷体_GB2312" w:cs="宋体"/>
                <w:color w:val="000000"/>
                <w:kern w:val="0"/>
                <w:sz w:val="24"/>
                <w:szCs w:val="24"/>
                <w:lang w:val="en-US" w:eastAsia="zh-CN"/>
              </w:rPr>
            </w:pPr>
            <w:r>
              <w:rPr>
                <w:rFonts w:hint="eastAsia" w:ascii="楷体_GB2312" w:hAnsi="宋体" w:eastAsia="楷体_GB2312" w:cs="宋体"/>
                <w:color w:val="000000"/>
                <w:kern w:val="0"/>
                <w:sz w:val="24"/>
                <w:szCs w:val="24"/>
                <w:lang w:val="en-US" w:eastAsia="zh-CN"/>
              </w:rPr>
              <w:t>心电系统</w:t>
            </w:r>
          </w:p>
        </w:tc>
        <w:tc>
          <w:tcPr>
            <w:tcW w:w="1843" w:type="pct"/>
            <w:noWrap w:val="0"/>
            <w:vAlign w:val="center"/>
          </w:tcPr>
          <w:p w14:paraId="7374BE35">
            <w:pPr>
              <w:pStyle w:val="19"/>
              <w:jc w:val="left"/>
              <w:rPr>
                <w:rFonts w:hint="eastAsia" w:ascii="楷体_GB2312" w:hAnsi="宋体" w:eastAsia="楷体_GB2312" w:cs="宋体"/>
                <w:color w:val="000000"/>
                <w:kern w:val="0"/>
                <w:sz w:val="24"/>
                <w:szCs w:val="24"/>
              </w:rPr>
            </w:pPr>
            <w:r>
              <w:rPr>
                <w:rFonts w:hint="default" w:ascii="Times New Roman" w:hAnsi="Times New Roman" w:eastAsia="宋体" w:cs="Times New Roman"/>
                <w:i w:val="0"/>
                <w:color w:val="000000"/>
                <w:kern w:val="0"/>
                <w:sz w:val="20"/>
                <w:szCs w:val="20"/>
                <w:u w:val="none"/>
                <w:lang w:val="en-US" w:eastAsia="zh-CN" w:bidi="ar"/>
              </w:rPr>
              <w:t>电子化检查申请：临床医生在门诊或病房通过医生工作站开具申请单，内容包括病人信息及检查项目。申请信息设定完毕后将自动保存于心电系统中。</w:t>
            </w:r>
          </w:p>
        </w:tc>
      </w:tr>
      <w:tr w14:paraId="73A10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30ADAF57">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4DF127F1">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3CA59AFB">
            <w:pPr>
              <w:widowControl/>
              <w:spacing w:line="360" w:lineRule="auto"/>
              <w:jc w:val="center"/>
              <w:rPr>
                <w:rFonts w:hint="eastAsia" w:ascii="楷体_GB2312" w:hAnsi="宋体" w:eastAsia="楷体_GB2312" w:cs="宋体"/>
                <w:color w:val="000000"/>
                <w:kern w:val="0"/>
                <w:sz w:val="24"/>
                <w:szCs w:val="24"/>
              </w:rPr>
            </w:pPr>
          </w:p>
        </w:tc>
        <w:tc>
          <w:tcPr>
            <w:tcW w:w="1843" w:type="pct"/>
            <w:noWrap w:val="0"/>
            <w:vAlign w:val="center"/>
          </w:tcPr>
          <w:p w14:paraId="6E6890A4">
            <w:pPr>
              <w:widowControl/>
              <w:spacing w:line="360" w:lineRule="auto"/>
              <w:jc w:val="left"/>
              <w:rPr>
                <w:rFonts w:hint="eastAsia" w:ascii="楷体_GB2312" w:hAnsi="宋体" w:eastAsia="楷体_GB2312" w:cs="宋体"/>
                <w:color w:val="000000"/>
                <w:kern w:val="0"/>
                <w:sz w:val="24"/>
                <w:szCs w:val="24"/>
              </w:rPr>
            </w:pPr>
            <w:r>
              <w:rPr>
                <w:rFonts w:hint="default" w:ascii="Times New Roman" w:hAnsi="Times New Roman" w:eastAsia="宋体" w:cs="Times New Roman"/>
                <w:i w:val="0"/>
                <w:color w:val="000000"/>
                <w:kern w:val="0"/>
                <w:sz w:val="20"/>
                <w:szCs w:val="20"/>
                <w:u w:val="none"/>
                <w:lang w:val="en-US" w:eastAsia="zh-CN" w:bidi="ar"/>
              </w:rPr>
              <w:t>预约登记：心电图检查医生通过HIS接口获得申请单进行登记和预约，并生成排队号的条形码，患者按照排队号在检查室等待检查。预约登记支持条形码打印。</w:t>
            </w:r>
          </w:p>
        </w:tc>
      </w:tr>
      <w:tr w14:paraId="272AB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078CFB38">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0B4F3DE0">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6C3A3301">
            <w:pPr>
              <w:widowControl/>
              <w:spacing w:line="360" w:lineRule="auto"/>
              <w:jc w:val="center"/>
              <w:rPr>
                <w:rFonts w:hint="eastAsia" w:ascii="楷体_GB2312" w:hAnsi="宋体" w:eastAsia="楷体_GB2312" w:cs="宋体"/>
                <w:color w:val="000000"/>
                <w:kern w:val="0"/>
                <w:sz w:val="24"/>
                <w:szCs w:val="24"/>
              </w:rPr>
            </w:pPr>
          </w:p>
        </w:tc>
        <w:tc>
          <w:tcPr>
            <w:tcW w:w="1843" w:type="pct"/>
            <w:noWrap w:val="0"/>
            <w:vAlign w:val="center"/>
          </w:tcPr>
          <w:p w14:paraId="6A959776">
            <w:pPr>
              <w:pStyle w:val="19"/>
              <w:jc w:val="left"/>
              <w:rPr>
                <w:rFonts w:hint="eastAsia" w:ascii="楷体_GB2312" w:hAnsi="宋体" w:eastAsia="楷体_GB2312" w:cs="宋体"/>
                <w:color w:val="000000"/>
                <w:kern w:val="0"/>
                <w:sz w:val="24"/>
                <w:szCs w:val="24"/>
              </w:rPr>
            </w:pPr>
            <w:r>
              <w:rPr>
                <w:rFonts w:hint="default" w:ascii="Times New Roman" w:hAnsi="Times New Roman" w:eastAsia="宋体" w:cs="Times New Roman"/>
                <w:i w:val="0"/>
                <w:color w:val="000000"/>
                <w:kern w:val="0"/>
                <w:sz w:val="20"/>
                <w:szCs w:val="20"/>
                <w:u w:val="none"/>
                <w:lang w:val="en-US" w:eastAsia="zh-CN" w:bidi="ar"/>
              </w:rPr>
              <w:t>排队叫号：检查医生依序叫号，系统会自动语音呼叫，并在叫号屏上显示。叫号屏可以是液晶显示屏或LED显示牌；显示并播报检查病人姓名、流水号和检查室；叫号屏空闲时可以播放科室指定的影音资料。</w:t>
            </w:r>
          </w:p>
        </w:tc>
      </w:tr>
      <w:tr w14:paraId="2BEA5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131EEC44">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506E649E">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33E2C87E">
            <w:pPr>
              <w:widowControl/>
              <w:spacing w:line="360" w:lineRule="auto"/>
              <w:jc w:val="center"/>
              <w:rPr>
                <w:rFonts w:hint="eastAsia" w:ascii="楷体_GB2312" w:hAnsi="宋体" w:eastAsia="楷体_GB2312" w:cs="宋体"/>
                <w:color w:val="000000"/>
                <w:kern w:val="0"/>
                <w:sz w:val="24"/>
                <w:szCs w:val="24"/>
              </w:rPr>
            </w:pPr>
          </w:p>
        </w:tc>
        <w:tc>
          <w:tcPr>
            <w:tcW w:w="1843" w:type="pct"/>
            <w:noWrap w:val="0"/>
            <w:vAlign w:val="center"/>
          </w:tcPr>
          <w:p w14:paraId="46C9F1C8">
            <w:pPr>
              <w:widowControl/>
              <w:spacing w:line="360" w:lineRule="auto"/>
              <w:jc w:val="left"/>
              <w:rPr>
                <w:rFonts w:hint="eastAsia" w:ascii="楷体_GB2312" w:hAnsi="宋体" w:eastAsia="楷体_GB2312" w:cs="宋体"/>
                <w:color w:val="000000"/>
                <w:kern w:val="0"/>
                <w:sz w:val="24"/>
                <w:szCs w:val="24"/>
              </w:rPr>
            </w:pPr>
            <w:r>
              <w:rPr>
                <w:rFonts w:hint="default" w:ascii="Times New Roman" w:hAnsi="Times New Roman" w:eastAsia="宋体" w:cs="Times New Roman"/>
                <w:i w:val="0"/>
                <w:color w:val="000000"/>
                <w:kern w:val="0"/>
                <w:sz w:val="20"/>
                <w:szCs w:val="20"/>
                <w:u w:val="none"/>
                <w:lang w:val="en-US" w:eastAsia="zh-CN" w:bidi="ar"/>
              </w:rPr>
              <w:t>心电检查：患者按照顺序依次接受心电图检查，扫描排队号的条码后进行检查，同时转换心电图数据并传输到服务器中。</w:t>
            </w:r>
          </w:p>
        </w:tc>
      </w:tr>
      <w:tr w14:paraId="3E85E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59E5E1F1">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7A9B17A0">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6654C4C2">
            <w:pPr>
              <w:widowControl/>
              <w:spacing w:line="360" w:lineRule="auto"/>
              <w:jc w:val="center"/>
              <w:rPr>
                <w:rFonts w:hint="eastAsia" w:ascii="仿宋_GB2312" w:eastAsia="仿宋_GB2312"/>
              </w:rPr>
            </w:pPr>
          </w:p>
        </w:tc>
        <w:tc>
          <w:tcPr>
            <w:tcW w:w="1843" w:type="pct"/>
            <w:noWrap w:val="0"/>
            <w:vAlign w:val="center"/>
          </w:tcPr>
          <w:p w14:paraId="1BCF063C">
            <w:pPr>
              <w:pStyle w:val="19"/>
              <w:jc w:val="left"/>
              <w:rPr>
                <w:rFonts w:hint="eastAsia" w:ascii="楷体_GB2312" w:hAnsi="宋体" w:eastAsia="楷体_GB2312" w:cs="宋体"/>
                <w:color w:val="000000"/>
                <w:kern w:val="0"/>
                <w:sz w:val="24"/>
                <w:szCs w:val="24"/>
              </w:rPr>
            </w:pPr>
            <w:r>
              <w:rPr>
                <w:rFonts w:hint="default" w:ascii="Times New Roman" w:hAnsi="Times New Roman" w:eastAsia="宋体" w:cs="Times New Roman"/>
                <w:i w:val="0"/>
                <w:color w:val="000000"/>
                <w:kern w:val="0"/>
                <w:sz w:val="20"/>
                <w:szCs w:val="20"/>
                <w:u w:val="none"/>
                <w:lang w:val="en-US" w:eastAsia="zh-CN" w:bidi="ar"/>
              </w:rPr>
              <w:t>检查数据上传：检查支持静息心电图检查、运动心电图检查、动态心电图检查及动态血压等不同种类的心电电生理检查，检查数据以数字形式、统一的数据格式进行存储，通过心电网络信息平台实现全院共享。提供智能化报告模板，报告医生可以管理个性化的诊断模板。</w:t>
            </w:r>
          </w:p>
        </w:tc>
      </w:tr>
      <w:tr w14:paraId="0597B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280487FA">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510F5993">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2F8B41AF">
            <w:pPr>
              <w:widowControl/>
              <w:spacing w:line="360" w:lineRule="auto"/>
              <w:jc w:val="center"/>
              <w:rPr>
                <w:rFonts w:hint="eastAsia" w:ascii="仿宋_GB2312" w:eastAsia="仿宋_GB2312"/>
              </w:rPr>
            </w:pPr>
          </w:p>
        </w:tc>
        <w:tc>
          <w:tcPr>
            <w:tcW w:w="1843" w:type="pct"/>
            <w:noWrap w:val="0"/>
            <w:vAlign w:val="center"/>
          </w:tcPr>
          <w:p w14:paraId="6B9E56C6">
            <w:pPr>
              <w:widowControl/>
              <w:spacing w:line="360" w:lineRule="auto"/>
              <w:jc w:val="left"/>
              <w:rPr>
                <w:rFonts w:hint="eastAsia" w:ascii="楷体_GB2312" w:hAnsi="宋体" w:eastAsia="楷体_GB2312" w:cs="宋体"/>
                <w:color w:val="000000"/>
                <w:kern w:val="0"/>
                <w:sz w:val="24"/>
                <w:szCs w:val="24"/>
              </w:rPr>
            </w:pPr>
            <w:r>
              <w:rPr>
                <w:rFonts w:hint="default" w:ascii="Times New Roman" w:hAnsi="Times New Roman" w:eastAsia="宋体" w:cs="Times New Roman"/>
                <w:i w:val="0"/>
                <w:color w:val="000000"/>
                <w:kern w:val="0"/>
                <w:sz w:val="20"/>
                <w:szCs w:val="20"/>
                <w:u w:val="none"/>
                <w:lang w:val="en-US" w:eastAsia="zh-CN" w:bidi="ar"/>
              </w:rPr>
              <w:t>心电数据分析与诊断：系统提供专用的心电测量工具，如同屏对比、波形放大、电子分规测量及心电图数据分析功能。对于相同ID号心电数据，系统自动分析比较心电图的变化，并在报告中显示出来</w:t>
            </w:r>
            <w:r>
              <w:rPr>
                <w:rFonts w:hint="eastAsia" w:ascii="Times New Roman" w:hAnsi="Times New Roman" w:eastAsia="宋体" w:cs="Times New Roman"/>
                <w:i w:val="0"/>
                <w:color w:val="000000"/>
                <w:kern w:val="0"/>
                <w:sz w:val="20"/>
                <w:szCs w:val="20"/>
                <w:u w:val="none"/>
                <w:lang w:val="en-US" w:eastAsia="zh-CN" w:bidi="ar"/>
              </w:rPr>
              <w:t>，</w:t>
            </w:r>
            <w:r>
              <w:rPr>
                <w:rFonts w:hint="default" w:ascii="Times New Roman" w:hAnsi="Times New Roman" w:eastAsia="宋体" w:cs="Times New Roman"/>
                <w:i w:val="0"/>
                <w:color w:val="000000"/>
                <w:kern w:val="0"/>
                <w:sz w:val="20"/>
                <w:szCs w:val="20"/>
                <w:u w:val="none"/>
                <w:lang w:val="en-US" w:eastAsia="zh-CN" w:bidi="ar"/>
              </w:rPr>
              <w:t>对于传入系统的有干扰波形进行再次滤波调节；心电图机的自动测量和诊断语句可存入心电信息系统。</w:t>
            </w:r>
          </w:p>
        </w:tc>
      </w:tr>
      <w:tr w14:paraId="427D5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7E1F0F99">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437D0E6D">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624E98E7">
            <w:pPr>
              <w:widowControl/>
              <w:spacing w:line="360" w:lineRule="auto"/>
              <w:jc w:val="center"/>
              <w:rPr>
                <w:rFonts w:hint="eastAsia" w:ascii="仿宋_GB2312" w:eastAsia="仿宋_GB2312"/>
              </w:rPr>
            </w:pPr>
          </w:p>
        </w:tc>
        <w:tc>
          <w:tcPr>
            <w:tcW w:w="1843" w:type="pct"/>
            <w:noWrap w:val="0"/>
            <w:vAlign w:val="center"/>
          </w:tcPr>
          <w:p w14:paraId="5ADA3D01">
            <w:pPr>
              <w:pStyle w:val="19"/>
              <w:jc w:val="left"/>
              <w:rPr>
                <w:rFonts w:hint="eastAsia" w:ascii="仿宋_GB2312" w:eastAsia="仿宋_GB2312"/>
              </w:rPr>
            </w:pPr>
            <w:r>
              <w:rPr>
                <w:rFonts w:hint="default" w:ascii="Times New Roman" w:hAnsi="Times New Roman" w:eastAsia="宋体" w:cs="Times New Roman"/>
                <w:i w:val="0"/>
                <w:color w:val="000000"/>
                <w:kern w:val="0"/>
                <w:sz w:val="20"/>
                <w:szCs w:val="20"/>
                <w:u w:val="none"/>
                <w:lang w:val="en-US" w:eastAsia="zh-CN" w:bidi="ar"/>
              </w:rPr>
              <w:t>报告审核与打印：审核之后的报告，可以通过院内的网络发布，通过WEB，临床医生就可以调阅该心电图报告，必要时可以把报告打印出来。</w:t>
            </w:r>
          </w:p>
        </w:tc>
      </w:tr>
      <w:tr w14:paraId="2C469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73" w:type="pct"/>
            <w:vMerge w:val="continue"/>
            <w:noWrap w:val="0"/>
            <w:vAlign w:val="center"/>
          </w:tcPr>
          <w:p w14:paraId="2A5FF5BA">
            <w:pPr>
              <w:widowControl/>
              <w:spacing w:line="360" w:lineRule="auto"/>
              <w:jc w:val="center"/>
              <w:rPr>
                <w:rFonts w:hint="eastAsia" w:ascii="楷体_GB2312" w:hAnsi="宋体" w:eastAsia="楷体_GB2312" w:cs="宋体"/>
                <w:color w:val="000000"/>
                <w:kern w:val="0"/>
                <w:sz w:val="24"/>
                <w:szCs w:val="24"/>
              </w:rPr>
            </w:pPr>
          </w:p>
        </w:tc>
        <w:tc>
          <w:tcPr>
            <w:tcW w:w="945" w:type="pct"/>
            <w:vMerge w:val="continue"/>
            <w:noWrap w:val="0"/>
            <w:vAlign w:val="center"/>
          </w:tcPr>
          <w:p w14:paraId="74E2E360">
            <w:pPr>
              <w:widowControl/>
              <w:spacing w:line="360" w:lineRule="auto"/>
              <w:jc w:val="center"/>
              <w:rPr>
                <w:rFonts w:hint="eastAsia" w:ascii="楷体_GB2312" w:hAnsi="宋体" w:eastAsia="楷体_GB2312" w:cs="宋体"/>
                <w:color w:val="000000"/>
                <w:kern w:val="0"/>
                <w:sz w:val="24"/>
                <w:szCs w:val="24"/>
              </w:rPr>
            </w:pPr>
          </w:p>
        </w:tc>
        <w:tc>
          <w:tcPr>
            <w:tcW w:w="1838" w:type="pct"/>
            <w:vMerge w:val="continue"/>
            <w:noWrap w:val="0"/>
            <w:vAlign w:val="center"/>
          </w:tcPr>
          <w:p w14:paraId="68489F43">
            <w:pPr>
              <w:widowControl/>
              <w:spacing w:line="360" w:lineRule="auto"/>
              <w:jc w:val="center"/>
              <w:rPr>
                <w:rFonts w:hint="eastAsia" w:ascii="仿宋_GB2312" w:eastAsia="仿宋_GB2312"/>
              </w:rPr>
            </w:pPr>
          </w:p>
        </w:tc>
        <w:tc>
          <w:tcPr>
            <w:tcW w:w="1843" w:type="pct"/>
            <w:noWrap w:val="0"/>
            <w:vAlign w:val="center"/>
          </w:tcPr>
          <w:p w14:paraId="4AAA3259">
            <w:pPr>
              <w:pStyle w:val="19"/>
              <w:jc w:val="left"/>
              <w:rPr>
                <w:rFonts w:hint="eastAsia" w:ascii="仿宋_GB2312" w:eastAsia="仿宋_GB2312"/>
              </w:rPr>
            </w:pPr>
            <w:r>
              <w:rPr>
                <w:rFonts w:hint="default" w:ascii="Times New Roman" w:hAnsi="Times New Roman" w:eastAsia="宋体" w:cs="Times New Roman"/>
                <w:i w:val="0"/>
                <w:color w:val="000000"/>
                <w:kern w:val="0"/>
                <w:sz w:val="20"/>
                <w:szCs w:val="20"/>
                <w:u w:val="none"/>
                <w:lang w:val="en-US" w:eastAsia="zh-CN" w:bidi="ar"/>
              </w:rPr>
              <w:t>数据上传与归档：报告完成确认，根据设定的存储规划，上传到中心的数据库服务器并归档。</w:t>
            </w:r>
          </w:p>
        </w:tc>
      </w:tr>
    </w:tbl>
    <w:p w14:paraId="6EE42753">
      <w:pPr>
        <w:ind w:firstLine="480" w:firstLineChars="200"/>
        <w:rPr>
          <w:rFonts w:hint="default"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4.2 全院范围未接入系统的心电图机接入系统，共计32台心电图机。</w:t>
      </w:r>
    </w:p>
    <w:p w14:paraId="31CD9FC3">
      <w:pPr>
        <w:pStyle w:val="69"/>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服务要求</w:t>
      </w:r>
    </w:p>
    <w:p w14:paraId="30F180D3">
      <w:pPr>
        <w:pStyle w:val="65"/>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服务质量要求</w:t>
      </w:r>
    </w:p>
    <w:p w14:paraId="2730DB59">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软件系统运行维护服务质量要求</w:t>
      </w:r>
    </w:p>
    <w:p w14:paraId="60D53B5A">
      <w:pPr>
        <w:pStyle w:val="67"/>
        <w:numPr>
          <w:ilvl w:val="2"/>
          <w:numId w:val="0"/>
        </w:numPr>
        <w:ind w:left="426" w:leftChars="0"/>
        <w:rPr>
          <w:rFonts w:hint="eastAsia" w:ascii="方正仿宋_GBK" w:hAnsi="方正仿宋_GBK" w:eastAsia="方正仿宋_GBK" w:cs="方正仿宋_GBK"/>
          <w:b w:val="0"/>
          <w:bCs/>
          <w:color w:val="auto"/>
          <w:kern w:val="0"/>
          <w:sz w:val="24"/>
          <w:szCs w:val="24"/>
          <w:lang w:eastAsia="zh-CN"/>
        </w:rPr>
      </w:pPr>
      <w:r>
        <w:rPr>
          <w:rFonts w:hint="eastAsia" w:ascii="方正仿宋_GBK" w:hAnsi="方正仿宋_GBK" w:eastAsia="方正仿宋_GBK" w:cs="方正仿宋_GBK"/>
          <w:b w:val="0"/>
          <w:bCs/>
          <w:color w:val="auto"/>
          <w:kern w:val="0"/>
          <w:sz w:val="24"/>
          <w:szCs w:val="24"/>
        </w:rPr>
        <w:t>全年运行故障率不高于1%</w:t>
      </w:r>
      <w:r>
        <w:rPr>
          <w:rFonts w:hint="eastAsia" w:ascii="方正仿宋_GBK" w:hAnsi="方正仿宋_GBK" w:eastAsia="方正仿宋_GBK" w:cs="方正仿宋_GBK"/>
          <w:b w:val="0"/>
          <w:bCs/>
          <w:color w:val="auto"/>
          <w:kern w:val="0"/>
          <w:sz w:val="24"/>
          <w:szCs w:val="24"/>
          <w:lang w:eastAsia="zh-CN"/>
        </w:rPr>
        <w:t>。</w:t>
      </w:r>
    </w:p>
    <w:p w14:paraId="2F8D5330">
      <w:pPr>
        <w:pStyle w:val="65"/>
        <w:numPr>
          <w:ilvl w:val="0"/>
          <w:numId w:val="0"/>
        </w:numPr>
        <w:ind w:leftChars="0" w:firstLine="480" w:firstLineChars="200"/>
        <w:rPr>
          <w:rFonts w:hint="eastAsia" w:ascii="方正仿宋_GBK" w:hAnsi="方正仿宋_GBK" w:eastAsia="方正仿宋_GBK" w:cs="方正仿宋_GBK"/>
          <w:color w:val="auto"/>
          <w:sz w:val="24"/>
          <w:szCs w:val="24"/>
          <w:lang w:val="en-US"/>
        </w:rPr>
      </w:pPr>
      <w:r>
        <w:rPr>
          <w:rFonts w:hint="eastAsia" w:ascii="方正仿宋_GBK" w:hAnsi="方正仿宋_GBK" w:eastAsia="方正仿宋_GBK" w:cs="方正仿宋_GBK"/>
          <w:color w:val="auto"/>
          <w:sz w:val="24"/>
          <w:szCs w:val="24"/>
          <w:lang w:val="en-US" w:eastAsia="zh-CN"/>
        </w:rPr>
        <w:t>（1）日常维护巡检</w:t>
      </w:r>
    </w:p>
    <w:p w14:paraId="64EE53A2">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1）操作指导：系统电子操作说明手册，可在业务软件上直接打开查看，维保期内每半年更新一次；</w:t>
      </w:r>
    </w:p>
    <w:p w14:paraId="77E25C30">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2）▲巡检服务：</w:t>
      </w:r>
      <w:r>
        <w:rPr>
          <w:rFonts w:hint="eastAsia" w:ascii="方正仿宋_GBK" w:hAnsi="方正仿宋_GBK" w:eastAsia="方正仿宋_GBK" w:cs="方正仿宋_GBK"/>
          <w:color w:val="auto"/>
          <w:sz w:val="24"/>
          <w:szCs w:val="24"/>
          <w:highlight w:val="none"/>
        </w:rPr>
        <w:t>服务期间由原厂认证工程师每月至少对系统运行状况进行巡检1次，方式可以是远程或现场；在每超过3天的国家法定节假日放假之前需远</w:t>
      </w:r>
      <w:r>
        <w:rPr>
          <w:rFonts w:hint="eastAsia" w:ascii="方正仿宋_GBK" w:hAnsi="方正仿宋_GBK" w:eastAsia="方正仿宋_GBK" w:cs="方正仿宋_GBK"/>
          <w:color w:val="auto"/>
          <w:sz w:val="24"/>
          <w:szCs w:val="24"/>
        </w:rPr>
        <w:t>程或现场巡检1次；每季度现场系统运行状况巡检1次，每次巡检时间不少于两个工作日。巡检范围从客户端、应用服务器、数据库服务器全方面检查，巡检报告按</w:t>
      </w:r>
      <w:r>
        <w:rPr>
          <w:rFonts w:hint="eastAsia" w:ascii="方正仿宋_GBK" w:hAnsi="方正仿宋_GBK" w:eastAsia="方正仿宋_GBK" w:cs="方正仿宋_GBK"/>
          <w:color w:val="auto"/>
          <w:sz w:val="24"/>
          <w:szCs w:val="24"/>
          <w:lang w:eastAsia="zh-CN"/>
        </w:rPr>
        <w:t>采购人</w:t>
      </w:r>
      <w:r>
        <w:rPr>
          <w:rFonts w:hint="eastAsia" w:ascii="方正仿宋_GBK" w:hAnsi="方正仿宋_GBK" w:eastAsia="方正仿宋_GBK" w:cs="方正仿宋_GBK"/>
          <w:color w:val="auto"/>
          <w:sz w:val="24"/>
          <w:szCs w:val="24"/>
        </w:rPr>
        <w:t>格式填写并签字，巡检报告要真实有效。每次现场巡检时将之前的纸质巡检报告提交</w:t>
      </w:r>
      <w:r>
        <w:rPr>
          <w:rFonts w:hint="eastAsia" w:ascii="方正仿宋_GBK" w:hAnsi="方正仿宋_GBK" w:eastAsia="方正仿宋_GBK" w:cs="方正仿宋_GBK"/>
          <w:color w:val="auto"/>
          <w:sz w:val="24"/>
          <w:szCs w:val="24"/>
          <w:lang w:eastAsia="zh-CN"/>
        </w:rPr>
        <w:t>采购人</w:t>
      </w:r>
      <w:r>
        <w:rPr>
          <w:rFonts w:hint="eastAsia" w:ascii="方正仿宋_GBK" w:hAnsi="方正仿宋_GBK" w:eastAsia="方正仿宋_GBK" w:cs="方正仿宋_GBK"/>
          <w:color w:val="auto"/>
          <w:sz w:val="24"/>
          <w:szCs w:val="24"/>
        </w:rPr>
        <w:t>系统主管工程师归档。每半年将零星服务的内容按</w:t>
      </w:r>
      <w:r>
        <w:rPr>
          <w:rFonts w:hint="eastAsia" w:ascii="方正仿宋_GBK" w:hAnsi="方正仿宋_GBK" w:eastAsia="方正仿宋_GBK" w:cs="方正仿宋_GBK"/>
          <w:color w:val="auto"/>
          <w:sz w:val="24"/>
          <w:szCs w:val="24"/>
          <w:lang w:eastAsia="zh-CN"/>
        </w:rPr>
        <w:t>采购人</w:t>
      </w:r>
      <w:r>
        <w:rPr>
          <w:rFonts w:hint="eastAsia" w:ascii="方正仿宋_GBK" w:hAnsi="方正仿宋_GBK" w:eastAsia="方正仿宋_GBK" w:cs="方正仿宋_GBK"/>
          <w:color w:val="auto"/>
          <w:sz w:val="24"/>
          <w:szCs w:val="24"/>
        </w:rPr>
        <w:t>格式进行汇总并加盖公司公章，生成服务报告；每年度生成年度服务报告。</w:t>
      </w:r>
    </w:p>
    <w:p w14:paraId="626F356F">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3）故障排除：软件应用过程中出现功能故障时，协助查找、排除软件故障，保证系统功能正常运行；</w:t>
      </w:r>
    </w:p>
    <w:p w14:paraId="1186130B">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4）软件更新：对程序BUG、程序错误提供定期的修复补丁包服务，定期优化软件功能和性能，在公司推出同版本的新升级程序后，对客户系统进行升级；</w:t>
      </w:r>
    </w:p>
    <w:p w14:paraId="34C81AC0">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5）日常维护：维保期对系统进行修正性维护、适应性维护、完善性维护、预期性维护，每次维护均建立维护记录并归档；</w:t>
      </w:r>
    </w:p>
    <w:p w14:paraId="6383A4A9">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6）应急服务：出现紧急情况时，保证在半小时内启动应急服务，协调安排相关工作人员跟进处理相关紧急情况。维保公司有完整的应急方案，并根据医院实际情况进行修订；</w:t>
      </w:r>
    </w:p>
    <w:p w14:paraId="56FF09EA">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7）应用迁移：协助进行应用迁移，提供必要的支持和指导；</w:t>
      </w:r>
    </w:p>
    <w:p w14:paraId="59A1D5CB">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8）应急基本流程：出现突发情况→系统主管工程师现场分析原因并处理→如问题未能解决导致系统不能正常使用超过半小时→系统主管工程师评估影响范围→报维保公司技术经理→公司协调工程师协助系统主管工程师处理→问题结束→提交问题处理结果分析报告；</w:t>
      </w:r>
    </w:p>
    <w:p w14:paraId="15CA15F1">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9）咨询服务：用户在系统操作过程中的咨询、疑问、建议进行解答；</w:t>
      </w:r>
    </w:p>
    <w:p w14:paraId="576EC06A">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10）维护培训：对业务部门人员及主管系统人员，进行系统操作、维护培训；公司提供系统运行状况检查方案及脚本并负责培训</w:t>
      </w:r>
      <w:r>
        <w:rPr>
          <w:rFonts w:hint="eastAsia" w:ascii="方正仿宋_GBK" w:hAnsi="方正仿宋_GBK" w:eastAsia="方正仿宋_GBK" w:cs="方正仿宋_GBK"/>
          <w:color w:val="auto"/>
          <w:sz w:val="24"/>
          <w:szCs w:val="24"/>
          <w:lang w:eastAsia="zh-CN"/>
        </w:rPr>
        <w:t>采购人</w:t>
      </w:r>
      <w:r>
        <w:rPr>
          <w:rFonts w:hint="eastAsia" w:ascii="方正仿宋_GBK" w:hAnsi="方正仿宋_GBK" w:eastAsia="方正仿宋_GBK" w:cs="方正仿宋_GBK"/>
          <w:color w:val="auto"/>
          <w:sz w:val="24"/>
          <w:szCs w:val="24"/>
        </w:rPr>
        <w:t>工程师，每半年升级更新内容。</w:t>
      </w:r>
    </w:p>
    <w:p w14:paraId="4AFAD3D5">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lang w:val="en-US" w:eastAsia="zh-CN"/>
        </w:rPr>
        <w:t>2</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rPr>
        <w:t>网络安全服务</w:t>
      </w:r>
    </w:p>
    <w:p w14:paraId="3BDEF967">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1）网络安全等级评审：配合对系统进行网络安全等级评审，对存在问题进行完善修复并达到相关等级；</w:t>
      </w:r>
    </w:p>
    <w:p w14:paraId="10275DBA">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2）安全更新：对网络安全漏洞提供修复补丁包服务，优化网络安全性能，在公司推出同版本的新升级程序后，对客户系统进行升级；</w:t>
      </w:r>
    </w:p>
    <w:p w14:paraId="24E368EE">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lang w:val="en-US" w:eastAsia="zh-CN"/>
        </w:rPr>
        <w:t>3</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rPr>
        <w:t>接口运维服务</w:t>
      </w:r>
    </w:p>
    <w:p w14:paraId="7FC11283">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1）接口远程处理：提供技术支持以保障系统范围现有接口的稳定运行；</w:t>
      </w:r>
    </w:p>
    <w:p w14:paraId="0132444B">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2）提供接口解决方案：对于现有接口运行不畅，提供接口解决方案，并积极配合院方进行调整。</w:t>
      </w:r>
    </w:p>
    <w:p w14:paraId="0BD85B04">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lang w:val="en-US" w:eastAsia="zh-CN"/>
        </w:rPr>
        <w:t>4</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rPr>
        <w:t>数据运维服务</w:t>
      </w:r>
    </w:p>
    <w:p w14:paraId="025744E0">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1）数据库服务器巡检：提供定期（每季度）到我院与系统主管工程师进行数据库服务器巡检，对现有数据库运行状态进行评估，并反馈评估报告；</w:t>
      </w:r>
    </w:p>
    <w:p w14:paraId="78B7757C">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2）问题日志远程处理：对数据库中产生的问题日志，提供远程查看与指导；</w:t>
      </w:r>
    </w:p>
    <w:p w14:paraId="2F881ECE">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3）数据恢复：协助系统主管工程师恢复数据；</w:t>
      </w:r>
    </w:p>
    <w:p w14:paraId="3F1AE8D7">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4）数据调整：协助系统维护人员进行数据调整；</w:t>
      </w:r>
    </w:p>
    <w:p w14:paraId="37836D73">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5）数据迁移：协助进行数据库迁移，提供必要的支持和指导；</w:t>
      </w:r>
    </w:p>
    <w:p w14:paraId="2E1C499F">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6）应急服务：系统灾难发生时，导致系统不能正常使用超过半小时，维保公司需承诺立即响应，减少数据损失，降低灾难对整个系统正常运行的影响；</w:t>
      </w:r>
    </w:p>
    <w:p w14:paraId="7CD05DB7">
      <w:pPr>
        <w:pStyle w:val="42"/>
        <w:spacing w:line="580" w:lineRule="exact"/>
        <w:ind w:firstLine="640"/>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7）问题解答：解答系统及数据库疑难问题；</w:t>
      </w:r>
    </w:p>
    <w:p w14:paraId="165AB380">
      <w:pPr>
        <w:pStyle w:val="42"/>
        <w:spacing w:line="580" w:lineRule="exact"/>
        <w:ind w:firstLine="640"/>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rPr>
        <w:t>▲</w:t>
      </w:r>
      <w:r>
        <w:rPr>
          <w:rFonts w:hint="eastAsia" w:ascii="方正仿宋_GBK" w:hAnsi="方正仿宋_GBK" w:eastAsia="方正仿宋_GBK" w:cs="方正仿宋_GBK"/>
          <w:color w:val="auto"/>
          <w:sz w:val="24"/>
          <w:szCs w:val="24"/>
          <w:lang w:val="en-US" w:eastAsia="zh-CN"/>
        </w:rPr>
        <w:t>8）数据质量整改。采购人参与电子病历等级评审以及互联互通成熟度等测评工作时，成交供应商应及时提供采购人所需数据，按时配合采购人做好数据质量整改工作。</w:t>
      </w:r>
    </w:p>
    <w:p w14:paraId="7C013B44">
      <w:pPr>
        <w:pStyle w:val="67"/>
        <w:numPr>
          <w:ilvl w:val="2"/>
          <w:numId w:val="0"/>
        </w:numPr>
        <w:ind w:left="426" w:leftChars="0"/>
        <w:rPr>
          <w:rFonts w:hint="eastAsia" w:ascii="方正仿宋_GBK" w:hAnsi="方正仿宋_GBK" w:eastAsia="方正仿宋_GBK" w:cs="方正仿宋_GBK"/>
          <w:b w:val="0"/>
          <w:bCs/>
          <w:color w:val="auto"/>
          <w:kern w:val="0"/>
          <w:sz w:val="24"/>
          <w:szCs w:val="24"/>
          <w:lang w:eastAsia="zh-CN"/>
        </w:rPr>
      </w:pPr>
    </w:p>
    <w:p w14:paraId="05DA0359">
      <w:pPr>
        <w:pStyle w:val="65"/>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管理要求</w:t>
      </w:r>
    </w:p>
    <w:p w14:paraId="7E5C5EF7">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服务人员</w:t>
      </w:r>
    </w:p>
    <w:p w14:paraId="3B320BB2">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lang w:eastAsia="zh-CN"/>
        </w:rPr>
        <w:t>例</w:t>
      </w:r>
      <w:r>
        <w:rPr>
          <w:rFonts w:hint="eastAsia" w:ascii="方正仿宋_GBK" w:hAnsi="方正仿宋_GBK" w:eastAsia="方正仿宋_GBK" w:cs="方正仿宋_GBK"/>
          <w:color w:val="auto"/>
          <w:sz w:val="24"/>
          <w:szCs w:val="24"/>
        </w:rPr>
        <w:t>为保障本项目顺利实施，服务人员应及时排查解决并记录故障情况；在重要保障期进行7*24小时值班保障系统正常运行；应积极配合</w:t>
      </w:r>
      <w:r>
        <w:rPr>
          <w:rFonts w:hint="eastAsia" w:ascii="方正仿宋_GBK" w:hAnsi="方正仿宋_GBK" w:eastAsia="方正仿宋_GBK" w:cs="方正仿宋_GBK"/>
          <w:color w:val="auto"/>
          <w:sz w:val="24"/>
          <w:szCs w:val="24"/>
          <w:lang w:eastAsia="zh-CN"/>
        </w:rPr>
        <w:t>惠州市第六人民医院</w:t>
      </w:r>
      <w:r>
        <w:rPr>
          <w:rFonts w:hint="eastAsia" w:ascii="方正仿宋_GBK" w:hAnsi="方正仿宋_GBK" w:eastAsia="方正仿宋_GBK" w:cs="方正仿宋_GBK"/>
          <w:color w:val="auto"/>
          <w:sz w:val="24"/>
          <w:szCs w:val="24"/>
        </w:rPr>
        <w:t>完成交办的其他相关工作。</w:t>
      </w:r>
    </w:p>
    <w:p w14:paraId="1884FEEB">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各服务人员基本要求如下：</w:t>
      </w:r>
    </w:p>
    <w:tbl>
      <w:tblPr>
        <w:tblStyle w:val="3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1"/>
        <w:gridCol w:w="1689"/>
        <w:gridCol w:w="1559"/>
        <w:gridCol w:w="5057"/>
      </w:tblGrid>
      <w:tr w14:paraId="27F91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528" w:type="pct"/>
            <w:shd w:val="clear" w:color="auto" w:fill="auto"/>
            <w:noWrap w:val="0"/>
            <w:vAlign w:val="center"/>
          </w:tcPr>
          <w:p w14:paraId="117E4628">
            <w:pPr>
              <w:pStyle w:val="15"/>
              <w:spacing w:after="0" w:line="240" w:lineRule="auto"/>
              <w:ind w:firstLine="0" w:firstLineChars="0"/>
              <w:jc w:val="center"/>
              <w:rPr>
                <w:rFonts w:hint="eastAsia" w:ascii="方正仿宋_GBK" w:hAnsi="方正仿宋_GBK" w:eastAsia="方正仿宋_GBK" w:cs="方正仿宋_GBK"/>
                <w:b/>
                <w:color w:val="auto"/>
                <w:kern w:val="2"/>
                <w:sz w:val="24"/>
                <w:szCs w:val="24"/>
                <w:lang w:val="en-US" w:eastAsia="zh-CN" w:bidi="ar-SA"/>
              </w:rPr>
            </w:pPr>
            <w:r>
              <w:rPr>
                <w:rFonts w:hint="eastAsia" w:ascii="方正仿宋_GBK" w:hAnsi="方正仿宋_GBK" w:eastAsia="方正仿宋_GBK" w:cs="方正仿宋_GBK"/>
                <w:b/>
                <w:color w:val="auto"/>
                <w:sz w:val="24"/>
                <w:szCs w:val="24"/>
                <w:lang w:val="en-US" w:eastAsia="zh-CN"/>
              </w:rPr>
              <w:t>序号</w:t>
            </w:r>
          </w:p>
        </w:tc>
        <w:tc>
          <w:tcPr>
            <w:tcW w:w="909" w:type="pct"/>
            <w:shd w:val="clear" w:color="auto" w:fill="auto"/>
            <w:noWrap w:val="0"/>
            <w:vAlign w:val="center"/>
          </w:tcPr>
          <w:p w14:paraId="66585790">
            <w:pPr>
              <w:pStyle w:val="15"/>
              <w:spacing w:after="0" w:line="240" w:lineRule="auto"/>
              <w:ind w:firstLine="0" w:firstLineChars="0"/>
              <w:jc w:val="center"/>
              <w:rPr>
                <w:rFonts w:hint="eastAsia" w:ascii="方正仿宋_GBK" w:hAnsi="方正仿宋_GBK" w:eastAsia="方正仿宋_GBK" w:cs="方正仿宋_GBK"/>
                <w:b/>
                <w:color w:val="auto"/>
                <w:kern w:val="2"/>
                <w:sz w:val="24"/>
                <w:szCs w:val="24"/>
                <w:lang w:val="en-US" w:eastAsia="zh-CN" w:bidi="ar-SA"/>
              </w:rPr>
            </w:pPr>
            <w:r>
              <w:rPr>
                <w:rFonts w:hint="eastAsia" w:ascii="方正仿宋_GBK" w:hAnsi="方正仿宋_GBK" w:eastAsia="方正仿宋_GBK" w:cs="方正仿宋_GBK"/>
                <w:b/>
                <w:color w:val="auto"/>
                <w:sz w:val="24"/>
                <w:szCs w:val="24"/>
                <w:lang w:val="en-US" w:eastAsia="zh-CN"/>
              </w:rPr>
              <w:t>服务内容</w:t>
            </w:r>
          </w:p>
        </w:tc>
        <w:tc>
          <w:tcPr>
            <w:tcW w:w="839" w:type="pct"/>
            <w:shd w:val="clear" w:color="auto" w:fill="auto"/>
            <w:noWrap w:val="0"/>
            <w:vAlign w:val="center"/>
          </w:tcPr>
          <w:p w14:paraId="447310CD">
            <w:pPr>
              <w:pStyle w:val="15"/>
              <w:spacing w:after="0" w:line="240" w:lineRule="auto"/>
              <w:ind w:firstLine="0" w:firstLineChars="0"/>
              <w:jc w:val="center"/>
              <w:rPr>
                <w:rFonts w:hint="eastAsia" w:ascii="方正仿宋_GBK" w:hAnsi="方正仿宋_GBK" w:eastAsia="方正仿宋_GBK" w:cs="方正仿宋_GBK"/>
                <w:b/>
                <w:color w:val="auto"/>
                <w:kern w:val="2"/>
                <w:sz w:val="24"/>
                <w:szCs w:val="24"/>
                <w:lang w:val="en-US" w:eastAsia="zh-CN" w:bidi="ar-SA"/>
              </w:rPr>
            </w:pPr>
            <w:r>
              <w:rPr>
                <w:rFonts w:hint="eastAsia" w:ascii="方正仿宋_GBK" w:hAnsi="方正仿宋_GBK" w:eastAsia="方正仿宋_GBK" w:cs="方正仿宋_GBK"/>
                <w:b/>
                <w:color w:val="auto"/>
                <w:sz w:val="24"/>
                <w:szCs w:val="24"/>
                <w:lang w:val="en-US" w:eastAsia="zh-CN"/>
              </w:rPr>
              <w:t>人员数量</w:t>
            </w:r>
          </w:p>
        </w:tc>
        <w:tc>
          <w:tcPr>
            <w:tcW w:w="2721" w:type="pct"/>
            <w:shd w:val="clear" w:color="auto" w:fill="auto"/>
            <w:noWrap w:val="0"/>
            <w:vAlign w:val="center"/>
          </w:tcPr>
          <w:p w14:paraId="24D12995">
            <w:pPr>
              <w:pStyle w:val="15"/>
              <w:spacing w:after="0" w:line="240" w:lineRule="auto"/>
              <w:ind w:firstLine="0" w:firstLineChars="0"/>
              <w:jc w:val="center"/>
              <w:rPr>
                <w:rFonts w:hint="eastAsia" w:ascii="方正仿宋_GBK" w:hAnsi="方正仿宋_GBK" w:eastAsia="方正仿宋_GBK" w:cs="方正仿宋_GBK"/>
                <w:b/>
                <w:color w:val="auto"/>
                <w:kern w:val="2"/>
                <w:sz w:val="24"/>
                <w:szCs w:val="24"/>
                <w:lang w:val="en-US" w:eastAsia="zh-CN" w:bidi="ar-SA"/>
              </w:rPr>
            </w:pPr>
            <w:r>
              <w:rPr>
                <w:rFonts w:hint="eastAsia" w:ascii="方正仿宋_GBK" w:hAnsi="方正仿宋_GBK" w:eastAsia="方正仿宋_GBK" w:cs="方正仿宋_GBK"/>
                <w:b/>
                <w:color w:val="auto"/>
                <w:sz w:val="24"/>
                <w:szCs w:val="24"/>
                <w:lang w:val="en-US" w:eastAsia="zh-CN"/>
              </w:rPr>
              <w:t>基本要求</w:t>
            </w:r>
          </w:p>
        </w:tc>
      </w:tr>
      <w:tr w14:paraId="4E9BE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pct"/>
            <w:noWrap w:val="0"/>
            <w:vAlign w:val="center"/>
          </w:tcPr>
          <w:p w14:paraId="51D5F2C2">
            <w:pPr>
              <w:pStyle w:val="15"/>
              <w:spacing w:after="0" w:line="240" w:lineRule="auto"/>
              <w:ind w:firstLine="0" w:firstLineChars="0"/>
              <w:jc w:val="center"/>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1</w:t>
            </w:r>
          </w:p>
        </w:tc>
        <w:tc>
          <w:tcPr>
            <w:tcW w:w="909" w:type="pct"/>
            <w:noWrap w:val="0"/>
            <w:vAlign w:val="center"/>
          </w:tcPr>
          <w:p w14:paraId="039484C7">
            <w:pPr>
              <w:pStyle w:val="15"/>
              <w:spacing w:after="0" w:line="240" w:lineRule="auto"/>
              <w:ind w:firstLine="0" w:firstLineChars="0"/>
              <w:jc w:val="center"/>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应用软件日常维护/日常巡检</w:t>
            </w:r>
          </w:p>
          <w:p w14:paraId="167C946E">
            <w:pPr>
              <w:pStyle w:val="15"/>
              <w:spacing w:after="0" w:line="240" w:lineRule="auto"/>
              <w:ind w:firstLine="0" w:firstLineChars="0"/>
              <w:jc w:val="center"/>
              <w:rPr>
                <w:rFonts w:hint="eastAsia" w:ascii="方正仿宋_GBK" w:hAnsi="方正仿宋_GBK" w:eastAsia="方正仿宋_GBK" w:cs="方正仿宋_GBK"/>
                <w:color w:val="auto"/>
                <w:sz w:val="24"/>
                <w:szCs w:val="24"/>
                <w:lang w:val="en-US" w:eastAsia="zh-CN"/>
              </w:rPr>
            </w:pPr>
          </w:p>
        </w:tc>
        <w:tc>
          <w:tcPr>
            <w:tcW w:w="839" w:type="pct"/>
            <w:noWrap w:val="0"/>
            <w:vAlign w:val="center"/>
          </w:tcPr>
          <w:p w14:paraId="3467D484">
            <w:pPr>
              <w:pStyle w:val="15"/>
              <w:spacing w:after="0" w:line="240" w:lineRule="auto"/>
              <w:ind w:firstLine="0" w:firstLineChars="0"/>
              <w:jc w:val="center"/>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3人</w:t>
            </w:r>
          </w:p>
        </w:tc>
        <w:tc>
          <w:tcPr>
            <w:tcW w:w="2721" w:type="pct"/>
            <w:noWrap w:val="0"/>
            <w:vAlign w:val="center"/>
          </w:tcPr>
          <w:p w14:paraId="50C6444D">
            <w:pPr>
              <w:pStyle w:val="15"/>
              <w:spacing w:after="0" w:line="240" w:lineRule="auto"/>
              <w:ind w:firstLine="0" w:firstLineChars="0"/>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highlight w:val="yellow"/>
                <w:lang w:val="en-US" w:eastAsia="zh-CN"/>
              </w:rPr>
              <w:t>要求从业经验（医疗信息系统）不少于3年，负责程序需求修改、日常巡检等工作。</w:t>
            </w:r>
          </w:p>
        </w:tc>
      </w:tr>
      <w:tr w14:paraId="0A5F97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8" w:type="pct"/>
            <w:noWrap w:val="0"/>
            <w:vAlign w:val="center"/>
          </w:tcPr>
          <w:p w14:paraId="1821DEAD">
            <w:pPr>
              <w:pStyle w:val="15"/>
              <w:spacing w:after="0" w:line="240" w:lineRule="auto"/>
              <w:ind w:firstLine="0" w:firstLineChars="0"/>
              <w:jc w:val="center"/>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2</w:t>
            </w:r>
          </w:p>
        </w:tc>
        <w:tc>
          <w:tcPr>
            <w:tcW w:w="909" w:type="pct"/>
            <w:shd w:val="clear" w:color="auto" w:fill="auto"/>
            <w:noWrap w:val="0"/>
            <w:vAlign w:val="center"/>
          </w:tcPr>
          <w:p w14:paraId="0025E08C">
            <w:pPr>
              <w:pStyle w:val="15"/>
              <w:spacing w:after="0" w:line="240" w:lineRule="auto"/>
              <w:ind w:firstLine="0" w:firstLineChars="0"/>
              <w:jc w:val="center"/>
              <w:rPr>
                <w:rFonts w:hint="eastAsia" w:ascii="方正仿宋_GBK" w:hAnsi="方正仿宋_GBK" w:eastAsia="方正仿宋_GBK" w:cs="方正仿宋_GBK"/>
                <w:color w:val="auto"/>
                <w:kern w:val="2"/>
                <w:sz w:val="24"/>
                <w:szCs w:val="24"/>
                <w:lang w:val="en-US" w:eastAsia="zh-CN" w:bidi="ar-SA"/>
              </w:rPr>
            </w:pPr>
            <w:r>
              <w:rPr>
                <w:rFonts w:hint="eastAsia" w:ascii="方正仿宋_GBK" w:hAnsi="方正仿宋_GBK" w:eastAsia="方正仿宋_GBK" w:cs="方正仿宋_GBK"/>
                <w:color w:val="auto"/>
                <w:sz w:val="24"/>
                <w:szCs w:val="24"/>
                <w:lang w:val="en-US" w:eastAsia="zh-CN"/>
              </w:rPr>
              <w:t>项目经理</w:t>
            </w:r>
          </w:p>
        </w:tc>
        <w:tc>
          <w:tcPr>
            <w:tcW w:w="839" w:type="pct"/>
            <w:shd w:val="clear" w:color="auto" w:fill="auto"/>
            <w:noWrap w:val="0"/>
            <w:vAlign w:val="center"/>
          </w:tcPr>
          <w:p w14:paraId="189773A2">
            <w:pPr>
              <w:pStyle w:val="15"/>
              <w:spacing w:after="0" w:line="240" w:lineRule="auto"/>
              <w:ind w:firstLine="0" w:firstLineChars="0"/>
              <w:jc w:val="center"/>
              <w:rPr>
                <w:rFonts w:hint="eastAsia" w:ascii="方正仿宋_GBK" w:hAnsi="方正仿宋_GBK" w:eastAsia="方正仿宋_GBK" w:cs="方正仿宋_GBK"/>
                <w:color w:val="auto"/>
                <w:kern w:val="2"/>
                <w:sz w:val="24"/>
                <w:szCs w:val="24"/>
                <w:lang w:val="en-US" w:eastAsia="zh-CN" w:bidi="ar-SA"/>
              </w:rPr>
            </w:pPr>
            <w:r>
              <w:rPr>
                <w:rFonts w:hint="eastAsia" w:ascii="方正仿宋_GBK" w:hAnsi="方正仿宋_GBK" w:eastAsia="方正仿宋_GBK" w:cs="方正仿宋_GBK"/>
                <w:color w:val="auto"/>
                <w:sz w:val="24"/>
                <w:szCs w:val="24"/>
                <w:lang w:val="en-US" w:eastAsia="zh-CN"/>
              </w:rPr>
              <w:t>1人</w:t>
            </w:r>
          </w:p>
        </w:tc>
        <w:tc>
          <w:tcPr>
            <w:tcW w:w="2721" w:type="pct"/>
            <w:shd w:val="clear" w:color="auto" w:fill="auto"/>
            <w:noWrap w:val="0"/>
            <w:vAlign w:val="center"/>
          </w:tcPr>
          <w:p w14:paraId="4158A5B9">
            <w:pPr>
              <w:pStyle w:val="15"/>
              <w:spacing w:after="0" w:line="240" w:lineRule="auto"/>
              <w:ind w:firstLine="0" w:firstLineChars="0"/>
              <w:rPr>
                <w:rFonts w:hint="eastAsia" w:ascii="方正仿宋_GBK" w:hAnsi="方正仿宋_GBK" w:eastAsia="方正仿宋_GBK" w:cs="方正仿宋_GBK"/>
                <w:color w:val="auto"/>
                <w:kern w:val="2"/>
                <w:sz w:val="24"/>
                <w:szCs w:val="24"/>
                <w:highlight w:val="yellow"/>
                <w:lang w:val="en-US" w:eastAsia="zh-CN" w:bidi="ar-SA"/>
              </w:rPr>
            </w:pPr>
            <w:r>
              <w:rPr>
                <w:rFonts w:hint="eastAsia" w:ascii="方正仿宋_GBK" w:hAnsi="方正仿宋_GBK" w:eastAsia="方正仿宋_GBK" w:cs="方正仿宋_GBK"/>
                <w:color w:val="auto"/>
                <w:sz w:val="24"/>
                <w:szCs w:val="24"/>
                <w:highlight w:val="yellow"/>
                <w:lang w:val="en-US" w:eastAsia="zh-CN"/>
              </w:rPr>
              <w:t>全面负责医院各项维护工作沟通协调，负责项目组成员日常工作安排，对各项工作进行进度控制，确保各项维护工作正常运行。项目经理要求从业经验（医疗信息系统）不少于5年，具备高级信息系统项目管理师资质</w:t>
            </w:r>
          </w:p>
        </w:tc>
      </w:tr>
    </w:tbl>
    <w:p w14:paraId="163CB84C">
      <w:pPr>
        <w:ind w:firstLine="480" w:firstLineChars="200"/>
        <w:jc w:val="left"/>
        <w:rPr>
          <w:rFonts w:hint="eastAsia" w:ascii="方正仿宋_GBK" w:hAnsi="方正仿宋_GBK" w:eastAsia="方正仿宋_GBK" w:cs="方正仿宋_GBK"/>
          <w:color w:val="auto"/>
          <w:sz w:val="24"/>
          <w:szCs w:val="24"/>
        </w:rPr>
      </w:pPr>
    </w:p>
    <w:p w14:paraId="722FD044">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投标人须书面承诺，如在项目实际执行过程中发生项目经理不能按采购文件要求胜任相关工作的，采购人有权要求更换项目经理，投标人必须在两周内调整为符合采购文件要求且能胜任相关工作的项目经理并到位开展工作，否则采购人有权终止合同并报相关管理部门进行处理。</w:t>
      </w:r>
    </w:p>
    <w:p w14:paraId="6D5D251B">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投标人承诺的项目经理和开发实施的主要人员未经用户同意不得调整；投标人如中途更换项目经理和主要开发技术人员，应征得用户同意，否则采购人有权终止合同。</w:t>
      </w:r>
    </w:p>
    <w:p w14:paraId="628E1E62">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服务商应指派固定的团队为本项目提供专业服务，服务团队成员不得少于</w:t>
      </w:r>
      <w:r>
        <w:rPr>
          <w:rFonts w:hint="eastAsia" w:ascii="方正仿宋_GBK" w:hAnsi="方正仿宋_GBK" w:eastAsia="方正仿宋_GBK" w:cs="方正仿宋_GBK"/>
          <w:color w:val="auto"/>
          <w:sz w:val="24"/>
          <w:szCs w:val="24"/>
          <w:u w:val="single"/>
          <w:lang w:val="en-US" w:eastAsia="zh-CN"/>
        </w:rPr>
        <w:t>4</w:t>
      </w:r>
      <w:r>
        <w:rPr>
          <w:rFonts w:hint="eastAsia" w:ascii="方正仿宋_GBK" w:hAnsi="方正仿宋_GBK" w:eastAsia="方正仿宋_GBK" w:cs="方正仿宋_GBK"/>
          <w:color w:val="auto"/>
          <w:sz w:val="24"/>
          <w:szCs w:val="24"/>
        </w:rPr>
        <w:t>人。项目经理应具备</w:t>
      </w:r>
      <w:r>
        <w:rPr>
          <w:rFonts w:hint="eastAsia" w:ascii="方正仿宋_GBK" w:hAnsi="方正仿宋_GBK" w:eastAsia="方正仿宋_GBK" w:cs="方正仿宋_GBK"/>
          <w:color w:val="auto"/>
          <w:sz w:val="24"/>
          <w:szCs w:val="24"/>
          <w:u w:val="single"/>
          <w:lang w:val="en-US" w:eastAsia="zh-CN"/>
        </w:rPr>
        <w:t>5</w:t>
      </w:r>
      <w:r>
        <w:rPr>
          <w:rFonts w:hint="eastAsia" w:ascii="方正仿宋_GBK" w:hAnsi="方正仿宋_GBK" w:eastAsia="方正仿宋_GBK" w:cs="方正仿宋_GBK"/>
          <w:color w:val="auto"/>
          <w:sz w:val="24"/>
          <w:szCs w:val="24"/>
        </w:rPr>
        <w:t>年以上</w:t>
      </w:r>
      <w:r>
        <w:rPr>
          <w:rFonts w:hint="eastAsia" w:ascii="方正仿宋_GBK" w:hAnsi="方正仿宋_GBK" w:eastAsia="方正仿宋_GBK" w:cs="方正仿宋_GBK"/>
          <w:color w:val="auto"/>
          <w:sz w:val="24"/>
          <w:szCs w:val="24"/>
          <w:u w:val="single"/>
        </w:rPr>
        <w:t>系统运维</w:t>
      </w:r>
      <w:r>
        <w:rPr>
          <w:rFonts w:hint="eastAsia" w:ascii="方正仿宋_GBK" w:hAnsi="方正仿宋_GBK" w:eastAsia="方正仿宋_GBK" w:cs="方正仿宋_GBK"/>
          <w:color w:val="auto"/>
          <w:sz w:val="24"/>
          <w:szCs w:val="24"/>
        </w:rPr>
        <w:t>经验。</w:t>
      </w:r>
    </w:p>
    <w:p w14:paraId="287FA03A">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如须调整服务团队成员，须书面向采购人提出申请，说明申请理由，经采购人书面同意方可调整团队人员，调入人员的资历和从业经验不低于调出人员，否则视为违约行为，采购人有权终止服务合同。</w:t>
      </w:r>
    </w:p>
    <w:p w14:paraId="690343DF">
      <w:pPr>
        <w:ind w:firstLine="480" w:firstLineChars="200"/>
        <w:jc w:val="left"/>
        <w:rPr>
          <w:rFonts w:hint="eastAsia" w:ascii="方正仿宋_GBK" w:hAnsi="方正仿宋_GBK" w:eastAsia="方正仿宋_GBK" w:cs="方正仿宋_GBK"/>
          <w:color w:val="auto"/>
          <w:sz w:val="24"/>
          <w:szCs w:val="24"/>
        </w:rPr>
      </w:pPr>
    </w:p>
    <w:p w14:paraId="153B17BA">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进度要求</w:t>
      </w:r>
    </w:p>
    <w:p w14:paraId="5163969A">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服务周期为</w:t>
      </w:r>
      <w:r>
        <w:rPr>
          <w:rFonts w:hint="eastAsia" w:ascii="方正仿宋_GBK" w:hAnsi="方正仿宋_GBK" w:eastAsia="方正仿宋_GBK" w:cs="方正仿宋_GBK"/>
          <w:color w:val="auto"/>
          <w:sz w:val="24"/>
          <w:szCs w:val="24"/>
          <w:lang w:val="en-US" w:eastAsia="zh-CN"/>
        </w:rPr>
        <w:t>2</w:t>
      </w:r>
      <w:r>
        <w:rPr>
          <w:rFonts w:hint="eastAsia" w:ascii="方正仿宋_GBK" w:hAnsi="方正仿宋_GBK" w:eastAsia="方正仿宋_GBK" w:cs="方正仿宋_GBK"/>
          <w:color w:val="auto"/>
          <w:sz w:val="24"/>
          <w:szCs w:val="24"/>
        </w:rPr>
        <w:t>年，具体时间以项目合同为准：T代表合同确认的项目开始时间。</w:t>
      </w:r>
    </w:p>
    <w:tbl>
      <w:tblPr>
        <w:tblStyle w:val="34"/>
        <w:tblW w:w="479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4"/>
        <w:gridCol w:w="2863"/>
        <w:gridCol w:w="1781"/>
        <w:gridCol w:w="3200"/>
      </w:tblGrid>
      <w:tr w14:paraId="11280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2D2A1CC6">
            <w:pPr>
              <w:widowControl/>
              <w:jc w:val="center"/>
              <w:rPr>
                <w:rFonts w:hint="eastAsia" w:ascii="方正仿宋_GBK" w:hAnsi="方正仿宋_GBK" w:eastAsia="方正仿宋_GBK" w:cs="方正仿宋_GBK"/>
                <w:b/>
                <w:color w:val="auto"/>
                <w:kern w:val="0"/>
                <w:sz w:val="24"/>
                <w:szCs w:val="24"/>
              </w:rPr>
            </w:pPr>
            <w:r>
              <w:rPr>
                <w:rFonts w:hint="eastAsia" w:ascii="方正仿宋_GBK" w:hAnsi="方正仿宋_GBK" w:eastAsia="方正仿宋_GBK" w:cs="方正仿宋_GBK"/>
                <w:b/>
                <w:color w:val="auto"/>
                <w:kern w:val="0"/>
                <w:sz w:val="24"/>
                <w:szCs w:val="24"/>
              </w:rPr>
              <w:t>序号</w:t>
            </w:r>
          </w:p>
        </w:tc>
        <w:tc>
          <w:tcPr>
            <w:tcW w:w="1609" w:type="pct"/>
            <w:noWrap w:val="0"/>
            <w:vAlign w:val="center"/>
          </w:tcPr>
          <w:p w14:paraId="55428C73">
            <w:pPr>
              <w:widowControl/>
              <w:jc w:val="center"/>
              <w:rPr>
                <w:rFonts w:hint="eastAsia" w:ascii="方正仿宋_GBK" w:hAnsi="方正仿宋_GBK" w:eastAsia="方正仿宋_GBK" w:cs="方正仿宋_GBK"/>
                <w:b/>
                <w:color w:val="auto"/>
                <w:kern w:val="0"/>
                <w:sz w:val="24"/>
                <w:szCs w:val="24"/>
              </w:rPr>
            </w:pPr>
            <w:r>
              <w:rPr>
                <w:rFonts w:hint="eastAsia" w:ascii="方正仿宋_GBK" w:hAnsi="方正仿宋_GBK" w:eastAsia="方正仿宋_GBK" w:cs="方正仿宋_GBK"/>
                <w:b/>
                <w:color w:val="auto"/>
                <w:kern w:val="0"/>
                <w:sz w:val="24"/>
                <w:szCs w:val="24"/>
              </w:rPr>
              <w:t>工作内容</w:t>
            </w:r>
          </w:p>
        </w:tc>
        <w:tc>
          <w:tcPr>
            <w:tcW w:w="1001" w:type="pct"/>
            <w:noWrap w:val="0"/>
            <w:vAlign w:val="center"/>
          </w:tcPr>
          <w:p w14:paraId="50CADBD1">
            <w:pPr>
              <w:widowControl/>
              <w:jc w:val="center"/>
              <w:rPr>
                <w:rFonts w:hint="eastAsia" w:ascii="方正仿宋_GBK" w:hAnsi="方正仿宋_GBK" w:eastAsia="方正仿宋_GBK" w:cs="方正仿宋_GBK"/>
                <w:b/>
                <w:color w:val="auto"/>
                <w:kern w:val="0"/>
                <w:sz w:val="24"/>
                <w:szCs w:val="24"/>
              </w:rPr>
            </w:pPr>
            <w:r>
              <w:rPr>
                <w:rFonts w:hint="eastAsia" w:ascii="方正仿宋_GBK" w:hAnsi="方正仿宋_GBK" w:eastAsia="方正仿宋_GBK" w:cs="方正仿宋_GBK"/>
                <w:b/>
                <w:color w:val="auto"/>
                <w:kern w:val="0"/>
                <w:sz w:val="24"/>
                <w:szCs w:val="24"/>
              </w:rPr>
              <w:t>时间安排</w:t>
            </w:r>
          </w:p>
        </w:tc>
        <w:tc>
          <w:tcPr>
            <w:tcW w:w="1798" w:type="pct"/>
            <w:noWrap w:val="0"/>
            <w:vAlign w:val="center"/>
          </w:tcPr>
          <w:p w14:paraId="1EB0DE98">
            <w:pPr>
              <w:widowControl/>
              <w:jc w:val="center"/>
              <w:rPr>
                <w:rFonts w:hint="eastAsia" w:ascii="方正仿宋_GBK" w:hAnsi="方正仿宋_GBK" w:eastAsia="方正仿宋_GBK" w:cs="方正仿宋_GBK"/>
                <w:b/>
                <w:color w:val="auto"/>
                <w:kern w:val="0"/>
                <w:sz w:val="24"/>
                <w:szCs w:val="24"/>
              </w:rPr>
            </w:pPr>
            <w:r>
              <w:rPr>
                <w:rFonts w:hint="eastAsia" w:ascii="方正仿宋_GBK" w:hAnsi="方正仿宋_GBK" w:eastAsia="方正仿宋_GBK" w:cs="方正仿宋_GBK"/>
                <w:b/>
                <w:color w:val="auto"/>
                <w:kern w:val="0"/>
                <w:sz w:val="24"/>
                <w:szCs w:val="24"/>
              </w:rPr>
              <w:t>阶段成果</w:t>
            </w:r>
          </w:p>
        </w:tc>
      </w:tr>
      <w:tr w14:paraId="66C36C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10BF7501">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1</w:t>
            </w:r>
          </w:p>
        </w:tc>
        <w:tc>
          <w:tcPr>
            <w:tcW w:w="1609" w:type="pct"/>
            <w:noWrap w:val="0"/>
            <w:vAlign w:val="center"/>
          </w:tcPr>
          <w:p w14:paraId="6EDC0EFA">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签订合同</w:t>
            </w:r>
          </w:p>
        </w:tc>
        <w:tc>
          <w:tcPr>
            <w:tcW w:w="1001" w:type="pct"/>
            <w:noWrap w:val="0"/>
            <w:vAlign w:val="center"/>
          </w:tcPr>
          <w:p w14:paraId="4A9F7722">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T+14</w:t>
            </w:r>
          </w:p>
        </w:tc>
        <w:tc>
          <w:tcPr>
            <w:tcW w:w="1798" w:type="pct"/>
            <w:noWrap w:val="0"/>
            <w:vAlign w:val="center"/>
          </w:tcPr>
          <w:p w14:paraId="5E9E9CFA">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合同书</w:t>
            </w:r>
          </w:p>
        </w:tc>
      </w:tr>
      <w:tr w14:paraId="61D161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6421C103">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2</w:t>
            </w:r>
          </w:p>
        </w:tc>
        <w:tc>
          <w:tcPr>
            <w:tcW w:w="1609" w:type="pct"/>
            <w:noWrap w:val="0"/>
            <w:vAlign w:val="center"/>
          </w:tcPr>
          <w:p w14:paraId="0CE364D7">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开始实施</w:t>
            </w:r>
          </w:p>
        </w:tc>
        <w:tc>
          <w:tcPr>
            <w:tcW w:w="1001" w:type="pct"/>
            <w:noWrap w:val="0"/>
            <w:vAlign w:val="center"/>
          </w:tcPr>
          <w:p w14:paraId="302DB95B">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T+7</w:t>
            </w:r>
          </w:p>
        </w:tc>
        <w:tc>
          <w:tcPr>
            <w:tcW w:w="1798" w:type="pct"/>
            <w:noWrap w:val="0"/>
            <w:vAlign w:val="center"/>
          </w:tcPr>
          <w:p w14:paraId="3DC70DE0">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人员进场</w:t>
            </w:r>
          </w:p>
        </w:tc>
      </w:tr>
      <w:tr w14:paraId="73C4A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548DEF27">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3</w:t>
            </w:r>
          </w:p>
        </w:tc>
        <w:tc>
          <w:tcPr>
            <w:tcW w:w="1609" w:type="pct"/>
            <w:noWrap w:val="0"/>
            <w:vAlign w:val="center"/>
          </w:tcPr>
          <w:p w14:paraId="58143D6E">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运维服务</w:t>
            </w:r>
          </w:p>
        </w:tc>
        <w:tc>
          <w:tcPr>
            <w:tcW w:w="1001" w:type="pct"/>
            <w:noWrap w:val="0"/>
            <w:vAlign w:val="center"/>
          </w:tcPr>
          <w:p w14:paraId="38BF18AA">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T+365</w:t>
            </w:r>
          </w:p>
        </w:tc>
        <w:tc>
          <w:tcPr>
            <w:tcW w:w="1798" w:type="pct"/>
            <w:noWrap w:val="0"/>
            <w:vAlign w:val="center"/>
          </w:tcPr>
          <w:p w14:paraId="0D5A6C5B">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月度运维报告</w:t>
            </w:r>
          </w:p>
        </w:tc>
      </w:tr>
      <w:tr w14:paraId="675F52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592" w:type="pct"/>
            <w:noWrap w:val="0"/>
            <w:vAlign w:val="center"/>
          </w:tcPr>
          <w:p w14:paraId="6D966009">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4</w:t>
            </w:r>
          </w:p>
        </w:tc>
        <w:tc>
          <w:tcPr>
            <w:tcW w:w="1609" w:type="pct"/>
            <w:noWrap w:val="0"/>
            <w:vAlign w:val="center"/>
          </w:tcPr>
          <w:p w14:paraId="21ACE496">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项目验收</w:t>
            </w:r>
          </w:p>
        </w:tc>
        <w:tc>
          <w:tcPr>
            <w:tcW w:w="1001" w:type="pct"/>
            <w:noWrap w:val="0"/>
            <w:vAlign w:val="center"/>
          </w:tcPr>
          <w:p w14:paraId="231357DA">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T+395</w:t>
            </w:r>
          </w:p>
        </w:tc>
        <w:tc>
          <w:tcPr>
            <w:tcW w:w="1798" w:type="pct"/>
            <w:noWrap w:val="0"/>
            <w:vAlign w:val="center"/>
          </w:tcPr>
          <w:p w14:paraId="1E5C9AB1">
            <w:pPr>
              <w:widowControl/>
              <w:jc w:val="center"/>
              <w:rPr>
                <w:rFonts w:hint="eastAsia" w:ascii="方正仿宋_GBK" w:hAnsi="方正仿宋_GBK" w:eastAsia="方正仿宋_GBK" w:cs="方正仿宋_GBK"/>
                <w:color w:val="auto"/>
                <w:kern w:val="0"/>
                <w:sz w:val="24"/>
                <w:szCs w:val="24"/>
              </w:rPr>
            </w:pPr>
            <w:r>
              <w:rPr>
                <w:rFonts w:hint="eastAsia" w:ascii="方正仿宋_GBK" w:hAnsi="方正仿宋_GBK" w:eastAsia="方正仿宋_GBK" w:cs="方正仿宋_GBK"/>
                <w:color w:val="auto"/>
                <w:kern w:val="0"/>
                <w:sz w:val="24"/>
                <w:szCs w:val="24"/>
              </w:rPr>
              <w:t>项目验收</w:t>
            </w:r>
          </w:p>
        </w:tc>
      </w:tr>
    </w:tbl>
    <w:p w14:paraId="6B3166FE">
      <w:pPr>
        <w:jc w:val="left"/>
        <w:rPr>
          <w:rFonts w:hint="eastAsia" w:ascii="方正仿宋_GBK" w:hAnsi="方正仿宋_GBK" w:eastAsia="方正仿宋_GBK" w:cs="方正仿宋_GBK"/>
          <w:color w:val="auto"/>
          <w:sz w:val="24"/>
          <w:szCs w:val="24"/>
        </w:rPr>
      </w:pPr>
    </w:p>
    <w:p w14:paraId="1C5FC9E1">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组织实施要求</w:t>
      </w:r>
    </w:p>
    <w:p w14:paraId="31123DAC">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为使项目按质、按量、按时及有序实施，投标人应建立完善、稳定的项目团队、内部组织管理方式及管理机构、协调机制、技术基础，支撑保障要求及其他相关要求。在机制保障方面，成立组织实施小组和项目专家组的双轨制的组织模式。在项目日常管理和条件保障方面，从行政组织、后勤保障和支撑条件各方面创造良好的服务环境，确保项目的顺利实施。</w:t>
      </w:r>
    </w:p>
    <w:p w14:paraId="1F378ACE">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文档管理要求</w:t>
      </w:r>
    </w:p>
    <w:p w14:paraId="029F4DF9">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投标人应在项目完成时，将本项目所有文档、资料汇集成册交付给采购人，所有文件要求用中文书写或有完整的中文注释。验收后，投标人按国家、省以及采购人档案管理要求，向采购人提供装订成册的纸质文档至少</w:t>
      </w:r>
      <w:r>
        <w:rPr>
          <w:rFonts w:hint="eastAsia" w:ascii="方正仿宋_GBK" w:hAnsi="方正仿宋_GBK" w:eastAsia="方正仿宋_GBK" w:cs="方正仿宋_GBK"/>
          <w:color w:val="auto"/>
          <w:sz w:val="24"/>
          <w:szCs w:val="24"/>
          <w:u w:val="single"/>
        </w:rPr>
        <w:t>2</w:t>
      </w:r>
      <w:r>
        <w:rPr>
          <w:rFonts w:hint="eastAsia" w:ascii="方正仿宋_GBK" w:hAnsi="方正仿宋_GBK" w:eastAsia="方正仿宋_GBK" w:cs="方正仿宋_GBK"/>
          <w:color w:val="auto"/>
          <w:sz w:val="24"/>
          <w:szCs w:val="24"/>
        </w:rPr>
        <w:t>套，电子文档</w:t>
      </w:r>
      <w:r>
        <w:rPr>
          <w:rFonts w:hint="eastAsia" w:ascii="方正仿宋_GBK" w:hAnsi="方正仿宋_GBK" w:eastAsia="方正仿宋_GBK" w:cs="方正仿宋_GBK"/>
          <w:color w:val="auto"/>
          <w:sz w:val="24"/>
          <w:szCs w:val="24"/>
          <w:u w:val="single"/>
        </w:rPr>
        <w:t>1</w:t>
      </w:r>
      <w:r>
        <w:rPr>
          <w:rFonts w:hint="eastAsia" w:ascii="方正仿宋_GBK" w:hAnsi="方正仿宋_GBK" w:eastAsia="方正仿宋_GBK" w:cs="方正仿宋_GBK"/>
          <w:color w:val="auto"/>
          <w:sz w:val="24"/>
          <w:szCs w:val="24"/>
        </w:rPr>
        <w:t>套。</w:t>
      </w:r>
    </w:p>
    <w:p w14:paraId="615F0DBD">
      <w:pPr>
        <w:ind w:firstLine="480" w:firstLineChars="200"/>
        <w:jc w:val="left"/>
        <w:rPr>
          <w:rFonts w:hint="eastAsia" w:ascii="方正仿宋_GBK" w:hAnsi="方正仿宋_GBK" w:eastAsia="方正仿宋_GBK" w:cs="方正仿宋_GBK"/>
          <w:color w:val="auto"/>
          <w:sz w:val="24"/>
          <w:szCs w:val="24"/>
        </w:rPr>
      </w:pPr>
    </w:p>
    <w:p w14:paraId="1D222BB5">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质量保证要求</w:t>
      </w:r>
    </w:p>
    <w:p w14:paraId="3B0336AB">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为保证本项目能按时高质的顺利完成，规避项目风险或将风险降至最低程度，投标人应建立项目质量管理体系，包括但不限于质量目标、质量指标、岗位责任、问题处理计划、质量评价、整改完善等内容，并建立奖惩制度。</w:t>
      </w:r>
    </w:p>
    <w:p w14:paraId="3A461375">
      <w:pPr>
        <w:ind w:firstLine="480" w:firstLineChars="200"/>
        <w:jc w:val="left"/>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采购人每季度通过</w:t>
      </w:r>
      <w:r>
        <w:rPr>
          <w:rFonts w:hint="eastAsia" w:ascii="方正仿宋_GBK" w:hAnsi="方正仿宋_GBK" w:eastAsia="方正仿宋_GBK" w:cs="方正仿宋_GBK"/>
          <w:b/>
          <w:bCs/>
          <w:sz w:val="24"/>
          <w:szCs w:val="24"/>
          <w:highlight w:val="none"/>
        </w:rPr>
        <w:t>《运维考核评价表》</w:t>
      </w:r>
      <w:r>
        <w:rPr>
          <w:rFonts w:hint="eastAsia" w:ascii="方正仿宋_GBK" w:hAnsi="方正仿宋_GBK" w:eastAsia="方正仿宋_GBK" w:cs="方正仿宋_GBK"/>
          <w:color w:val="auto"/>
          <w:sz w:val="24"/>
          <w:szCs w:val="24"/>
          <w:lang w:val="en-US" w:eastAsia="zh-CN"/>
        </w:rPr>
        <w:t>对中标供应商进行考核，并进行相应的奖惩：</w:t>
      </w:r>
    </w:p>
    <w:p w14:paraId="57274696">
      <w:pPr>
        <w:pStyle w:val="42"/>
        <w:rPr>
          <w:rFonts w:hint="eastAsia" w:eastAsia="仿宋_GB2312"/>
          <w:lang w:eastAsia="zh-CN"/>
        </w:rPr>
      </w:pPr>
    </w:p>
    <w:p w14:paraId="7458E283">
      <w:pPr>
        <w:pStyle w:val="65"/>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验收标准</w:t>
      </w:r>
      <w:r>
        <w:rPr>
          <w:rFonts w:hint="eastAsia" w:ascii="方正仿宋_GBK" w:hAnsi="方正仿宋_GBK" w:eastAsia="方正仿宋_GBK" w:cs="方正仿宋_GBK"/>
          <w:color w:val="auto"/>
          <w:sz w:val="24"/>
          <w:szCs w:val="24"/>
          <w:lang w:eastAsia="zh-CN"/>
        </w:rPr>
        <w:t>（需明确验收标准，验收合格将作为付款的支撑条件）</w:t>
      </w:r>
    </w:p>
    <w:p w14:paraId="65F69BD2">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项目验收按照</w:t>
      </w:r>
      <w:r>
        <w:rPr>
          <w:rFonts w:hint="eastAsia" w:ascii="方正仿宋_GBK" w:hAnsi="方正仿宋_GBK" w:eastAsia="方正仿宋_GBK" w:cs="方正仿宋_GBK"/>
          <w:color w:val="auto"/>
          <w:sz w:val="24"/>
          <w:szCs w:val="24"/>
          <w:u w:val="single"/>
          <w:lang w:val="en-US" w:eastAsia="zh-CN"/>
        </w:rPr>
        <w:t>心电系统运维</w:t>
      </w:r>
      <w:r>
        <w:rPr>
          <w:rFonts w:hint="eastAsia" w:ascii="方正仿宋_GBK" w:hAnsi="方正仿宋_GBK" w:eastAsia="方正仿宋_GBK" w:cs="方正仿宋_GBK"/>
          <w:color w:val="auto"/>
          <w:sz w:val="24"/>
          <w:szCs w:val="24"/>
        </w:rPr>
        <w:t>验收的有关规定执行。项目验收的具体组织工作由项目采购人承担。</w:t>
      </w:r>
    </w:p>
    <w:p w14:paraId="6E517230">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本项目的验收应符合广东省政务服务数据管理局相关验收管理办法的要求，同时应遵循下列标准：</w:t>
      </w:r>
    </w:p>
    <w:p w14:paraId="3A8B932C">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1）实现合同和根据招标文件所编写的投标文件中列举的全部内容。</w:t>
      </w:r>
    </w:p>
    <w:p w14:paraId="3D46A82A">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2）项目验收包括按照合同和根据招标文件所编写的投标文件中相关的过程文档及</w:t>
      </w:r>
      <w:r>
        <w:rPr>
          <w:rFonts w:hint="eastAsia" w:ascii="方正仿宋_GBK" w:hAnsi="方正仿宋_GBK" w:eastAsia="方正仿宋_GBK" w:cs="方正仿宋_GBK"/>
          <w:color w:val="auto"/>
          <w:sz w:val="24"/>
          <w:szCs w:val="24"/>
          <w:u w:val="single"/>
          <w:lang w:val="en-US" w:eastAsia="zh-CN"/>
        </w:rPr>
        <w:t>心电系统运维</w:t>
      </w:r>
      <w:r>
        <w:rPr>
          <w:rFonts w:hint="eastAsia" w:ascii="方正仿宋_GBK" w:hAnsi="方正仿宋_GBK" w:eastAsia="方正仿宋_GBK" w:cs="方正仿宋_GBK"/>
          <w:color w:val="auto"/>
          <w:sz w:val="24"/>
          <w:szCs w:val="24"/>
        </w:rPr>
        <w:t>项目相关验收管理办法所要求的全部文档。</w:t>
      </w:r>
    </w:p>
    <w:p w14:paraId="6C6E7FC9">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3）提供</w:t>
      </w:r>
      <w:r>
        <w:rPr>
          <w:rFonts w:hint="eastAsia" w:ascii="方正仿宋_GBK" w:hAnsi="方正仿宋_GBK" w:eastAsia="方正仿宋_GBK" w:cs="方正仿宋_GBK"/>
          <w:color w:val="auto"/>
          <w:sz w:val="24"/>
          <w:szCs w:val="24"/>
          <w:lang w:eastAsia="zh-CN"/>
        </w:rPr>
        <w:t>系统</w:t>
      </w:r>
      <w:bookmarkStart w:id="0" w:name="_GoBack"/>
      <w:bookmarkEnd w:id="0"/>
      <w:r>
        <w:rPr>
          <w:rFonts w:hint="eastAsia" w:ascii="方正仿宋_GBK" w:hAnsi="方正仿宋_GBK" w:eastAsia="方正仿宋_GBK" w:cs="方正仿宋_GBK"/>
          <w:color w:val="auto"/>
          <w:sz w:val="24"/>
          <w:szCs w:val="24"/>
        </w:rPr>
        <w:t>运维服务月报（共12份）、年度服务总结报告（共1份）、重大故障报告（如需）。</w:t>
      </w:r>
    </w:p>
    <w:p w14:paraId="44C86D7B">
      <w:pPr>
        <w:jc w:val="left"/>
        <w:rPr>
          <w:rFonts w:hint="eastAsia" w:ascii="方正仿宋_GBK" w:hAnsi="方正仿宋_GBK" w:eastAsia="方正仿宋_GBK" w:cs="方正仿宋_GBK"/>
          <w:color w:val="auto"/>
          <w:sz w:val="24"/>
          <w:szCs w:val="24"/>
        </w:rPr>
      </w:pPr>
    </w:p>
    <w:p w14:paraId="67F5F5BD">
      <w:pPr>
        <w:pStyle w:val="65"/>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其他要求</w:t>
      </w:r>
    </w:p>
    <w:p w14:paraId="739BD982">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运维方式要求</w:t>
      </w:r>
    </w:p>
    <w:p w14:paraId="1612FB27">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投标人应配备专业技术维护团队，通过电话指导维护、远程维护和驻场维护相结合的服务方式，及时解决处理系统故障，保证系统正常运行。</w:t>
      </w:r>
    </w:p>
    <w:p w14:paraId="676D1DF2">
      <w:pPr>
        <w:ind w:firstLine="480" w:firstLineChars="200"/>
        <w:jc w:val="left"/>
        <w:rPr>
          <w:rFonts w:hint="eastAsia" w:ascii="方正仿宋_GBK" w:hAnsi="方正仿宋_GBK" w:eastAsia="方正仿宋_GBK" w:cs="方正仿宋_GBK"/>
          <w:color w:val="auto"/>
          <w:sz w:val="24"/>
          <w:szCs w:val="24"/>
        </w:rPr>
      </w:pPr>
    </w:p>
    <w:p w14:paraId="6D1719B7">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服务响应要求</w:t>
      </w:r>
    </w:p>
    <w:p w14:paraId="307E6ABE">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1.服务响应可通过现场、远程等方式提供，由此产生的一切费用均由投标人承担。</w:t>
      </w:r>
    </w:p>
    <w:p w14:paraId="1BB67BCC">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2.运行维护服务响应要求：</w:t>
      </w:r>
    </w:p>
    <w:p w14:paraId="3B075061">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（1）电话支持：提供7*24小时电话指导维护服务；</w:t>
      </w:r>
    </w:p>
    <w:p w14:paraId="35C6DECD">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（2）远程技术支持：电话指导维护无法解决问题时，保证远程维护；</w:t>
      </w:r>
    </w:p>
    <w:p w14:paraId="5BC34D38">
      <w:pPr>
        <w:ind w:firstLine="480" w:firstLineChars="200"/>
        <w:jc w:val="left"/>
        <w:rPr>
          <w:rFonts w:hint="eastAsia" w:ascii="方正仿宋_GBK" w:hAnsi="方正仿宋_GBK" w:eastAsia="方正仿宋_GBK" w:cs="方正仿宋_GBK"/>
          <w:color w:val="auto"/>
          <w:sz w:val="24"/>
          <w:szCs w:val="24"/>
        </w:rPr>
      </w:pPr>
    </w:p>
    <w:p w14:paraId="78B6F55B">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资产权属</w:t>
      </w:r>
    </w:p>
    <w:p w14:paraId="09CF6CE6">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1.本合同不会引起任何已申请、登记的知识产权所有权的转移。</w:t>
      </w:r>
    </w:p>
    <w:p w14:paraId="4DC01E45">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2.投标人、采购人双方一致同意，本合同所涉服务成果的知识产权归属</w:t>
      </w:r>
      <w:r>
        <w:rPr>
          <w:rFonts w:hint="eastAsia" w:ascii="方正仿宋_GBK" w:hAnsi="方正仿宋_GBK" w:eastAsia="方正仿宋_GBK" w:cs="方正仿宋_GBK"/>
          <w:color w:val="auto"/>
          <w:sz w:val="24"/>
          <w:szCs w:val="24"/>
          <w:lang w:eastAsia="zh-CN"/>
        </w:rPr>
        <w:t>：</w:t>
      </w:r>
      <w:r>
        <w:rPr>
          <w:rFonts w:hint="eastAsia" w:ascii="方正仿宋_GBK" w:hAnsi="方正仿宋_GBK" w:eastAsia="方正仿宋_GBK" w:cs="方正仿宋_GBK"/>
          <w:color w:val="auto"/>
          <w:sz w:val="24"/>
          <w:szCs w:val="24"/>
        </w:rPr>
        <w:t>投标人为履行本合同义务所形成的服务成果的知识产权归采购人所有。</w:t>
      </w:r>
    </w:p>
    <w:p w14:paraId="186084F6">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3.本合同所涉及的数据所有权归</w:t>
      </w:r>
      <w:r>
        <w:rPr>
          <w:rFonts w:hint="eastAsia" w:ascii="方正仿宋_GBK" w:hAnsi="方正仿宋_GBK" w:eastAsia="方正仿宋_GBK" w:cs="方正仿宋_GBK"/>
          <w:color w:val="auto"/>
          <w:sz w:val="24"/>
          <w:szCs w:val="24"/>
          <w:lang w:eastAsia="zh-CN"/>
        </w:rPr>
        <w:t>惠州市第六人民医院</w:t>
      </w:r>
      <w:r>
        <w:rPr>
          <w:rFonts w:hint="eastAsia" w:ascii="方正仿宋_GBK" w:hAnsi="方正仿宋_GBK" w:eastAsia="方正仿宋_GBK" w:cs="方正仿宋_GBK"/>
          <w:color w:val="auto"/>
          <w:sz w:val="24"/>
          <w:szCs w:val="24"/>
        </w:rPr>
        <w:t>所有。投标人只能用于履行本合同之义务。</w:t>
      </w:r>
    </w:p>
    <w:p w14:paraId="777EA0F6">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4.投标人提供的相关软件应是自行开发的产品或具备合法、合规授权，满足知识产权、安全等保三级等方面的有关规定和要求。</w:t>
      </w:r>
    </w:p>
    <w:p w14:paraId="2B6E8E04">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5.投标人保证向采购人提供的服务成果是其独立实施完成，不存在任何侵犯第三方专利权、商标权、著作权等合法权益。如因投标人提供的服务成果侵犯任何第三方的合法权益，导致该第三方追究采购人责任的，投标人应负责解决并赔偿因此给采购人造成的全部损失。</w:t>
      </w:r>
    </w:p>
    <w:p w14:paraId="6EB77143">
      <w:pPr>
        <w:pStyle w:val="67"/>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保密要求</w:t>
      </w:r>
      <w:r>
        <w:rPr>
          <w:rFonts w:hint="eastAsia" w:ascii="方正仿宋_GBK" w:hAnsi="方正仿宋_GBK" w:eastAsia="方正仿宋_GBK" w:cs="方正仿宋_GBK"/>
          <w:color w:val="auto"/>
          <w:sz w:val="24"/>
          <w:szCs w:val="24"/>
          <w:lang w:eastAsia="zh-CN"/>
        </w:rPr>
        <w:t>（如果保密要求，需完善此部分需求）</w:t>
      </w:r>
    </w:p>
    <w:p w14:paraId="10664557">
      <w:pPr>
        <w:ind w:firstLine="480" w:firstLineChars="200"/>
        <w:jc w:val="left"/>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1.投标人应签订保密协议，对其因身份、职务、职业或技术关系而知悉的采购人商业秘密和党政机关保密信息应严格保守，保证不被披露或使用，包括意外或过失。</w:t>
      </w:r>
    </w:p>
    <w:p w14:paraId="651028EA">
      <w:pPr>
        <w:ind w:firstLine="480" w:firstLineChars="200"/>
        <w:jc w:val="left"/>
        <w:rPr>
          <w:rFonts w:hint="eastAsia" w:ascii="方正仿宋_GBK" w:hAnsi="方正仿宋_GBK" w:eastAsia="方正仿宋_GBK" w:cs="方正仿宋_GBK"/>
          <w:color w:val="auto"/>
          <w:sz w:val="24"/>
          <w:szCs w:val="24"/>
          <w:lang w:eastAsia="zh-CN"/>
        </w:rPr>
      </w:pPr>
      <w:r>
        <w:rPr>
          <w:rFonts w:hint="eastAsia" w:ascii="方正仿宋_GBK" w:hAnsi="方正仿宋_GBK" w:eastAsia="方正仿宋_GBK" w:cs="方正仿宋_GBK"/>
          <w:color w:val="auto"/>
          <w:sz w:val="24"/>
          <w:szCs w:val="24"/>
        </w:rPr>
        <w:t>2.投标人不得以竞争为目的、或出于私利、或为第三人谋利而擅自保存、披露、使用采购人商业秘密和党政机关保密信息；不得直接或间接地向无关人员泄露采购人的商业秘密和党政机关保密信息；不得向不承担保密义务的任何第三人披露采购人的商业秘密和党政机关保密信息。投标人在从事政府项目时，不得擅自记录、复制、拍摄、摘抄、收藏在工作中涉及的保密信息，严禁将涉及政府项目的任何资料、数据透露或以其他方式提供给项目以外的其他方或投标人内部与该项目无关的任何人员。</w:t>
      </w:r>
    </w:p>
    <w:p w14:paraId="3B2559A8">
      <w:pPr>
        <w:ind w:firstLine="480" w:firstLineChars="200"/>
        <w:jc w:val="left"/>
        <w:rPr>
          <w:rFonts w:hint="eastAsia" w:ascii="方正仿宋_GBK" w:hAnsi="方正仿宋_GBK" w:eastAsia="方正仿宋_GBK" w:cs="方正仿宋_GBK"/>
          <w:color w:val="auto"/>
          <w:sz w:val="24"/>
          <w:szCs w:val="24"/>
          <w:lang w:eastAsia="zh-CN"/>
        </w:rPr>
      </w:pPr>
      <w:r>
        <w:rPr>
          <w:rFonts w:hint="eastAsia" w:ascii="方正仿宋_GBK" w:hAnsi="方正仿宋_GBK" w:eastAsia="方正仿宋_GBK" w:cs="方正仿宋_GBK"/>
          <w:color w:val="auto"/>
          <w:sz w:val="24"/>
          <w:szCs w:val="24"/>
        </w:rPr>
        <w:t>3.投标人对于工作期间知悉采购人的商业秘密和党政机关保密信息（包括业务信息在内）或工作过程中接触到的政府机关文件（包括内部发文、各类通知及会议记录等）的内容，同样承担保密责任，严禁将政府机关内部会议、谈话内容泄露给无关人员；不得翻阅与工作无关的文件和资料。</w:t>
      </w:r>
    </w:p>
    <w:p w14:paraId="6FCA1D77">
      <w:pPr>
        <w:ind w:firstLine="480" w:firstLineChars="200"/>
        <w:jc w:val="left"/>
        <w:rPr>
          <w:rFonts w:hint="eastAsia" w:ascii="方正仿宋_GBK" w:hAnsi="方正仿宋_GBK" w:eastAsia="方正仿宋_GBK" w:cs="方正仿宋_GBK"/>
          <w:color w:val="auto"/>
          <w:sz w:val="24"/>
          <w:szCs w:val="24"/>
          <w:lang w:eastAsia="zh-CN"/>
        </w:rPr>
      </w:pPr>
      <w:r>
        <w:rPr>
          <w:rFonts w:hint="eastAsia" w:ascii="方正仿宋_GBK" w:hAnsi="方正仿宋_GBK" w:eastAsia="方正仿宋_GBK" w:cs="方正仿宋_GBK"/>
          <w:color w:val="auto"/>
          <w:sz w:val="24"/>
          <w:szCs w:val="24"/>
        </w:rPr>
        <w:t>4.严禁泄露在工作中接触到的政府机关科技研究、发明、装备器材及其技术资料和政府工作信息。</w:t>
      </w:r>
    </w:p>
    <w:p w14:paraId="04A020F1">
      <w:pPr>
        <w:pStyle w:val="69"/>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付款方式</w:t>
      </w:r>
    </w:p>
    <w:p w14:paraId="7B1ABDF0">
      <w:pPr>
        <w:pStyle w:val="205"/>
        <w:ind w:firstLine="480"/>
        <w:jc w:val="both"/>
        <w:rPr>
          <w:rFonts w:hint="eastAsia" w:ascii="方正仿宋_GBK" w:hAnsi="方正仿宋_GBK" w:eastAsia="方正仿宋_GBK" w:cs="方正仿宋_GBK"/>
          <w:b/>
          <w:color w:val="auto"/>
          <w:sz w:val="24"/>
          <w:szCs w:val="24"/>
          <w:lang w:val="en-US" w:eastAsia="zh-CN"/>
        </w:rPr>
      </w:pPr>
      <w:r>
        <w:rPr>
          <w:rFonts w:hint="eastAsia" w:ascii="方正仿宋_GBK" w:hAnsi="方正仿宋_GBK" w:eastAsia="方正仿宋_GBK" w:cs="方正仿宋_GBK"/>
          <w:b/>
          <w:color w:val="auto"/>
          <w:sz w:val="24"/>
          <w:szCs w:val="24"/>
          <w:lang w:val="en-US" w:eastAsia="zh-CN"/>
        </w:rPr>
        <w:t>本合同的合同金额分两年支付，每年支付合同金额的二分之一，具体每年的支付方式如下：</w:t>
      </w:r>
    </w:p>
    <w:p w14:paraId="482B7F31">
      <w:pPr>
        <w:pStyle w:val="205"/>
        <w:ind w:firstLine="420"/>
        <w:jc w:val="both"/>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1、第一年费用：合同签订后乙方开始执行，至合同签订后的半年后，支付第一年合同</w:t>
      </w:r>
      <w:r>
        <w:rPr>
          <w:rFonts w:hint="eastAsia" w:ascii="方正仿宋_GBK" w:hAnsi="方正仿宋_GBK" w:eastAsia="方正仿宋_GBK" w:cs="方正仿宋_GBK"/>
          <w:color w:val="auto"/>
          <w:sz w:val="24"/>
          <w:szCs w:val="24"/>
          <w:lang w:val="en-US" w:eastAsia="zh-CN"/>
        </w:rPr>
        <w:t>金额</w:t>
      </w:r>
      <w:r>
        <w:rPr>
          <w:rFonts w:hint="eastAsia" w:ascii="方正仿宋_GBK" w:hAnsi="方正仿宋_GBK" w:eastAsia="方正仿宋_GBK" w:cs="方正仿宋_GBK"/>
          <w:color w:val="auto"/>
          <w:sz w:val="24"/>
          <w:szCs w:val="24"/>
        </w:rPr>
        <w:t>的50%，在</w:t>
      </w:r>
      <w:r>
        <w:rPr>
          <w:rFonts w:hint="eastAsia" w:ascii="方正仿宋_GBK" w:hAnsi="方正仿宋_GBK" w:eastAsia="方正仿宋_GBK" w:cs="方正仿宋_GBK"/>
          <w:color w:val="auto"/>
          <w:sz w:val="24"/>
          <w:szCs w:val="24"/>
          <w:lang w:eastAsia="zh-CN"/>
        </w:rPr>
        <w:t>乙方</w:t>
      </w:r>
      <w:r>
        <w:rPr>
          <w:rFonts w:hint="eastAsia" w:ascii="方正仿宋_GBK" w:hAnsi="方正仿宋_GBK" w:eastAsia="方正仿宋_GBK" w:cs="方正仿宋_GBK"/>
          <w:color w:val="auto"/>
          <w:sz w:val="24"/>
          <w:szCs w:val="24"/>
        </w:rPr>
        <w:t>提供等额发票30个工作日内完成支付；合同签订后第一年的维护期结束时且经过甲方</w:t>
      </w:r>
      <w:r>
        <w:rPr>
          <w:rFonts w:hint="eastAsia" w:ascii="方正仿宋_GBK" w:hAnsi="方正仿宋_GBK" w:eastAsia="方正仿宋_GBK" w:cs="方正仿宋_GBK"/>
          <w:color w:val="auto"/>
          <w:sz w:val="24"/>
          <w:szCs w:val="24"/>
          <w:lang w:val="en-US" w:eastAsia="zh-CN"/>
        </w:rPr>
        <w:t>总</w:t>
      </w:r>
      <w:r>
        <w:rPr>
          <w:rFonts w:hint="eastAsia" w:ascii="方正仿宋_GBK" w:hAnsi="方正仿宋_GBK" w:eastAsia="方正仿宋_GBK" w:cs="方正仿宋_GBK"/>
          <w:color w:val="auto"/>
          <w:sz w:val="24"/>
          <w:szCs w:val="24"/>
        </w:rPr>
        <w:t>考评验收合格后，支付剩余第一年合同</w:t>
      </w:r>
      <w:r>
        <w:rPr>
          <w:rFonts w:hint="eastAsia" w:ascii="方正仿宋_GBK" w:hAnsi="方正仿宋_GBK" w:eastAsia="方正仿宋_GBK" w:cs="方正仿宋_GBK"/>
          <w:color w:val="auto"/>
          <w:sz w:val="24"/>
          <w:szCs w:val="24"/>
          <w:lang w:val="en-US" w:eastAsia="zh-CN"/>
        </w:rPr>
        <w:t>金额</w:t>
      </w:r>
      <w:r>
        <w:rPr>
          <w:rFonts w:hint="eastAsia" w:ascii="方正仿宋_GBK" w:hAnsi="方正仿宋_GBK" w:eastAsia="方正仿宋_GBK" w:cs="方正仿宋_GBK"/>
          <w:color w:val="auto"/>
          <w:sz w:val="24"/>
          <w:szCs w:val="24"/>
        </w:rPr>
        <w:t>的50%，在</w:t>
      </w:r>
      <w:r>
        <w:rPr>
          <w:rFonts w:hint="eastAsia" w:ascii="方正仿宋_GBK" w:hAnsi="方正仿宋_GBK" w:eastAsia="方正仿宋_GBK" w:cs="方正仿宋_GBK"/>
          <w:color w:val="auto"/>
          <w:sz w:val="24"/>
          <w:szCs w:val="24"/>
          <w:lang w:eastAsia="zh-CN"/>
        </w:rPr>
        <w:t>乙方</w:t>
      </w:r>
      <w:r>
        <w:rPr>
          <w:rFonts w:hint="eastAsia" w:ascii="方正仿宋_GBK" w:hAnsi="方正仿宋_GBK" w:eastAsia="方正仿宋_GBK" w:cs="方正仿宋_GBK"/>
          <w:color w:val="auto"/>
          <w:sz w:val="24"/>
          <w:szCs w:val="24"/>
        </w:rPr>
        <w:t>提供等额发票30个工作日内完成支付。</w:t>
      </w:r>
    </w:p>
    <w:p w14:paraId="228C711F">
      <w:pPr>
        <w:pStyle w:val="205"/>
        <w:ind w:firstLine="420"/>
        <w:jc w:val="both"/>
        <w:rPr>
          <w:rFonts w:hint="eastAsia" w:ascii="方正仿宋_GBK" w:hAnsi="方正仿宋_GBK" w:eastAsia="方正仿宋_GBK" w:cs="方正仿宋_GBK"/>
          <w:color w:val="auto"/>
          <w:sz w:val="24"/>
          <w:szCs w:val="24"/>
        </w:rPr>
      </w:pPr>
      <w:r>
        <w:rPr>
          <w:rFonts w:hint="eastAsia" w:ascii="方正仿宋_GBK" w:hAnsi="方正仿宋_GBK" w:eastAsia="方正仿宋_GBK" w:cs="方正仿宋_GBK"/>
          <w:color w:val="auto"/>
          <w:sz w:val="24"/>
          <w:szCs w:val="24"/>
        </w:rPr>
        <w:t>2、第二年费用：在合同第二年服务开始的半年后，支付第二年合同</w:t>
      </w:r>
      <w:r>
        <w:rPr>
          <w:rFonts w:hint="eastAsia" w:ascii="方正仿宋_GBK" w:hAnsi="方正仿宋_GBK" w:eastAsia="方正仿宋_GBK" w:cs="方正仿宋_GBK"/>
          <w:color w:val="auto"/>
          <w:sz w:val="24"/>
          <w:szCs w:val="24"/>
          <w:lang w:val="en-US" w:eastAsia="zh-CN"/>
        </w:rPr>
        <w:t>金额</w:t>
      </w:r>
      <w:r>
        <w:rPr>
          <w:rFonts w:hint="eastAsia" w:ascii="方正仿宋_GBK" w:hAnsi="方正仿宋_GBK" w:eastAsia="方正仿宋_GBK" w:cs="方正仿宋_GBK"/>
          <w:color w:val="auto"/>
          <w:sz w:val="24"/>
          <w:szCs w:val="24"/>
        </w:rPr>
        <w:t>的50%，在</w:t>
      </w:r>
      <w:r>
        <w:rPr>
          <w:rFonts w:hint="eastAsia" w:ascii="方正仿宋_GBK" w:hAnsi="方正仿宋_GBK" w:eastAsia="方正仿宋_GBK" w:cs="方正仿宋_GBK"/>
          <w:color w:val="auto"/>
          <w:sz w:val="24"/>
          <w:szCs w:val="24"/>
          <w:lang w:eastAsia="zh-CN"/>
        </w:rPr>
        <w:t>乙方</w:t>
      </w:r>
      <w:r>
        <w:rPr>
          <w:rFonts w:hint="eastAsia" w:ascii="方正仿宋_GBK" w:hAnsi="方正仿宋_GBK" w:eastAsia="方正仿宋_GBK" w:cs="方正仿宋_GBK"/>
          <w:color w:val="auto"/>
          <w:sz w:val="24"/>
          <w:szCs w:val="24"/>
        </w:rPr>
        <w:t>提供等额发票30个工作日内完成支付；合同签订后第二年的维护期结束时且甲方</w:t>
      </w:r>
      <w:r>
        <w:rPr>
          <w:rFonts w:hint="eastAsia" w:ascii="方正仿宋_GBK" w:hAnsi="方正仿宋_GBK" w:eastAsia="方正仿宋_GBK" w:cs="方正仿宋_GBK"/>
          <w:color w:val="auto"/>
          <w:sz w:val="24"/>
          <w:szCs w:val="24"/>
          <w:lang w:val="en-US" w:eastAsia="zh-CN"/>
        </w:rPr>
        <w:t>总</w:t>
      </w:r>
      <w:r>
        <w:rPr>
          <w:rFonts w:hint="eastAsia" w:ascii="方正仿宋_GBK" w:hAnsi="方正仿宋_GBK" w:eastAsia="方正仿宋_GBK" w:cs="方正仿宋_GBK"/>
          <w:color w:val="auto"/>
          <w:sz w:val="24"/>
          <w:szCs w:val="24"/>
        </w:rPr>
        <w:t>考评验收合格后，支付第二年合同</w:t>
      </w:r>
      <w:r>
        <w:rPr>
          <w:rFonts w:hint="eastAsia" w:ascii="方正仿宋_GBK" w:hAnsi="方正仿宋_GBK" w:eastAsia="方正仿宋_GBK" w:cs="方正仿宋_GBK"/>
          <w:color w:val="auto"/>
          <w:sz w:val="24"/>
          <w:szCs w:val="24"/>
          <w:lang w:val="en-US" w:eastAsia="zh-CN"/>
        </w:rPr>
        <w:t>金额</w:t>
      </w:r>
      <w:r>
        <w:rPr>
          <w:rFonts w:hint="eastAsia" w:ascii="方正仿宋_GBK" w:hAnsi="方正仿宋_GBK" w:eastAsia="方正仿宋_GBK" w:cs="方正仿宋_GBK"/>
          <w:color w:val="auto"/>
          <w:sz w:val="24"/>
          <w:szCs w:val="24"/>
        </w:rPr>
        <w:t>的50%，在</w:t>
      </w:r>
      <w:r>
        <w:rPr>
          <w:rFonts w:hint="eastAsia" w:ascii="方正仿宋_GBK" w:hAnsi="方正仿宋_GBK" w:eastAsia="方正仿宋_GBK" w:cs="方正仿宋_GBK"/>
          <w:color w:val="auto"/>
          <w:sz w:val="24"/>
          <w:szCs w:val="24"/>
          <w:lang w:eastAsia="zh-CN"/>
        </w:rPr>
        <w:t>乙方</w:t>
      </w:r>
      <w:r>
        <w:rPr>
          <w:rFonts w:hint="eastAsia" w:ascii="方正仿宋_GBK" w:hAnsi="方正仿宋_GBK" w:eastAsia="方正仿宋_GBK" w:cs="方正仿宋_GBK"/>
          <w:color w:val="auto"/>
          <w:sz w:val="24"/>
          <w:szCs w:val="24"/>
        </w:rPr>
        <w:t>提供等额发票30个工作日内完成支付。</w:t>
      </w:r>
    </w:p>
    <w:p w14:paraId="629868B7">
      <w:pPr>
        <w:ind w:firstLine="480" w:firstLineChars="200"/>
        <w:jc w:val="left"/>
        <w:rPr>
          <w:rFonts w:hint="eastAsia" w:ascii="方正仿宋_GBK" w:hAnsi="方正仿宋_GBK" w:eastAsia="方正仿宋_GBK" w:cs="方正仿宋_GBK"/>
          <w:color w:val="auto"/>
          <w:sz w:val="24"/>
          <w:szCs w:val="24"/>
          <w:lang w:val="en-US" w:eastAsia="zh-CN"/>
        </w:rPr>
      </w:pPr>
      <w:r>
        <w:rPr>
          <w:rFonts w:hint="eastAsia" w:ascii="方正仿宋_GBK" w:hAnsi="方正仿宋_GBK" w:eastAsia="方正仿宋_GBK" w:cs="方正仿宋_GBK"/>
          <w:color w:val="auto"/>
          <w:sz w:val="24"/>
          <w:szCs w:val="24"/>
          <w:lang w:val="en-US" w:eastAsia="zh-CN"/>
        </w:rPr>
        <w:t>7：合同</w:t>
      </w:r>
    </w:p>
    <w:p w14:paraId="4399792B">
      <w:pPr>
        <w:spacing w:line="360" w:lineRule="auto"/>
        <w:ind w:right="40"/>
        <w:jc w:val="center"/>
        <w:rPr>
          <w:rFonts w:ascii="仿宋" w:hAnsi="仿宋" w:eastAsia="仿宋" w:cs="仿宋"/>
          <w:b/>
          <w:bCs/>
          <w:color w:val="000000"/>
          <w:sz w:val="48"/>
          <w:szCs w:val="48"/>
        </w:rPr>
      </w:pPr>
      <w:r>
        <w:rPr>
          <w:rFonts w:hint="eastAsia" w:ascii="仿宋" w:hAnsi="仿宋" w:eastAsia="仿宋" w:cs="仿宋"/>
          <w:b/>
          <w:bCs/>
          <w:color w:val="000000"/>
          <w:sz w:val="48"/>
          <w:szCs w:val="48"/>
          <w:lang w:eastAsia="zh-CN"/>
        </w:rPr>
        <w:t>服务</w:t>
      </w:r>
      <w:r>
        <w:rPr>
          <w:rFonts w:hint="eastAsia" w:ascii="仿宋" w:hAnsi="仿宋" w:eastAsia="仿宋" w:cs="仿宋"/>
          <w:b/>
          <w:bCs/>
          <w:color w:val="000000"/>
          <w:sz w:val="48"/>
          <w:szCs w:val="48"/>
        </w:rPr>
        <w:t>合同</w:t>
      </w:r>
    </w:p>
    <w:p w14:paraId="60CFAB7D">
      <w:pPr>
        <w:spacing w:line="360" w:lineRule="exact"/>
        <w:ind w:right="40"/>
        <w:rPr>
          <w:rFonts w:hint="eastAsia" w:ascii="仿宋" w:hAnsi="仿宋" w:eastAsia="仿宋" w:cs="仿宋"/>
          <w:bCs/>
          <w:color w:val="000000"/>
          <w:sz w:val="24"/>
          <w:szCs w:val="21"/>
          <w:lang w:eastAsia="zh-CN"/>
        </w:rPr>
      </w:pPr>
    </w:p>
    <w:p w14:paraId="0A473B6B">
      <w:pPr>
        <w:spacing w:line="360" w:lineRule="exact"/>
        <w:ind w:right="40"/>
        <w:jc w:val="left"/>
        <w:rPr>
          <w:rFonts w:hint="eastAsia" w:ascii="方正仿宋_GBK" w:hAnsi="方正仿宋_GBK" w:eastAsia="方正仿宋_GBK" w:cs="方正仿宋_GBK"/>
          <w:bCs/>
          <w:color w:val="000000"/>
          <w:sz w:val="28"/>
          <w:szCs w:val="28"/>
          <w:lang w:eastAsia="zh-CN"/>
        </w:rPr>
      </w:pPr>
      <w:r>
        <w:rPr>
          <w:rFonts w:hint="eastAsia" w:ascii="方正仿宋_GBK" w:hAnsi="方正仿宋_GBK" w:eastAsia="方正仿宋_GBK" w:cs="方正仿宋_GBK"/>
          <w:bCs/>
          <w:color w:val="000000"/>
          <w:sz w:val="28"/>
          <w:szCs w:val="28"/>
        </w:rPr>
        <w:t>合同编号:</w:t>
      </w:r>
    </w:p>
    <w:p w14:paraId="4E6BDFE1">
      <w:pPr>
        <w:spacing w:line="360" w:lineRule="exact"/>
        <w:ind w:right="40"/>
        <w:jc w:val="left"/>
        <w:rPr>
          <w:rFonts w:hint="eastAsia" w:ascii="方正仿宋_GBK" w:hAnsi="方正仿宋_GBK" w:eastAsia="方正仿宋_GBK" w:cs="方正仿宋_GBK"/>
          <w:bCs/>
          <w:color w:val="000000"/>
          <w:sz w:val="28"/>
          <w:szCs w:val="28"/>
        </w:rPr>
      </w:pPr>
    </w:p>
    <w:p w14:paraId="62611891">
      <w:pPr>
        <w:spacing w:line="360" w:lineRule="auto"/>
        <w:ind w:left="-2" w:leftChars="-50" w:hanging="103" w:hangingChars="43"/>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rPr>
        <w:t>甲方：惠州市第六人民医院</w:t>
      </w:r>
    </w:p>
    <w:p w14:paraId="3D406606">
      <w:pPr>
        <w:spacing w:line="360" w:lineRule="auto"/>
        <w:ind w:left="-2" w:leftChars="-50" w:hanging="103" w:hangingChars="43"/>
        <w:rPr>
          <w:rFonts w:hint="eastAsia" w:ascii="方正仿宋_GBK" w:hAnsi="方正仿宋_GBK" w:eastAsia="方正仿宋_GBK" w:cs="方正仿宋_GBK"/>
          <w:color w:val="000000"/>
          <w:sz w:val="24"/>
          <w:szCs w:val="24"/>
          <w:highlight w:val="none"/>
          <w:lang w:eastAsia="zh-CN"/>
        </w:rPr>
      </w:pPr>
      <w:r>
        <w:rPr>
          <w:rFonts w:hint="eastAsia" w:ascii="方正仿宋_GBK" w:hAnsi="方正仿宋_GBK" w:eastAsia="方正仿宋_GBK" w:cs="方正仿宋_GBK"/>
          <w:color w:val="000000"/>
          <w:sz w:val="24"/>
          <w:szCs w:val="24"/>
          <w:highlight w:val="none"/>
        </w:rPr>
        <w:t>联系地址：广东省惠州市惠阳区淡水爱民东路2号</w:t>
      </w:r>
    </w:p>
    <w:p w14:paraId="42819FC7">
      <w:pPr>
        <w:spacing w:line="360" w:lineRule="auto"/>
        <w:ind w:left="-2" w:leftChars="-50" w:hanging="103" w:hangingChars="43"/>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rPr>
        <w:t>联系电话：0752-6518960</w:t>
      </w:r>
    </w:p>
    <w:p w14:paraId="0294D3AE">
      <w:pPr>
        <w:spacing w:line="360" w:lineRule="auto"/>
        <w:ind w:left="-2" w:leftChars="-50" w:hanging="103" w:hangingChars="43"/>
        <w:rPr>
          <w:rFonts w:hint="eastAsia" w:ascii="方正仿宋_GBK" w:hAnsi="方正仿宋_GBK" w:eastAsia="方正仿宋_GBK" w:cs="方正仿宋_GBK"/>
          <w:color w:val="000000"/>
          <w:sz w:val="24"/>
          <w:szCs w:val="24"/>
          <w:highlight w:val="none"/>
          <w:lang w:eastAsia="zh-CN"/>
        </w:rPr>
      </w:pPr>
      <w:r>
        <w:rPr>
          <w:rFonts w:hint="eastAsia" w:ascii="方正仿宋_GBK" w:hAnsi="方正仿宋_GBK" w:eastAsia="方正仿宋_GBK" w:cs="方正仿宋_GBK"/>
          <w:color w:val="000000"/>
          <w:sz w:val="24"/>
          <w:szCs w:val="24"/>
          <w:highlight w:val="none"/>
        </w:rPr>
        <w:t>乙方：</w:t>
      </w:r>
    </w:p>
    <w:p w14:paraId="5EFD2699">
      <w:pPr>
        <w:spacing w:line="360" w:lineRule="auto"/>
        <w:ind w:left="-2" w:leftChars="-50" w:hanging="103" w:hangingChars="43"/>
        <w:rPr>
          <w:rFonts w:hint="eastAsia" w:ascii="方正仿宋_GBK" w:hAnsi="方正仿宋_GBK" w:eastAsia="方正仿宋_GBK" w:cs="方正仿宋_GBK"/>
          <w:color w:val="000000"/>
          <w:sz w:val="24"/>
          <w:szCs w:val="24"/>
          <w:highlight w:val="none"/>
          <w:u w:val="none"/>
          <w:lang w:eastAsia="zh-CN"/>
        </w:rPr>
      </w:pPr>
      <w:r>
        <w:rPr>
          <w:rFonts w:hint="eastAsia" w:ascii="方正仿宋_GBK" w:hAnsi="方正仿宋_GBK" w:eastAsia="方正仿宋_GBK" w:cs="方正仿宋_GBK"/>
          <w:color w:val="000000"/>
          <w:sz w:val="24"/>
          <w:szCs w:val="24"/>
          <w:highlight w:val="none"/>
        </w:rPr>
        <w:t>联系地址：</w:t>
      </w:r>
    </w:p>
    <w:p w14:paraId="69057656">
      <w:pPr>
        <w:spacing w:line="360" w:lineRule="auto"/>
        <w:ind w:left="-2" w:leftChars="-50" w:hanging="103" w:hangingChars="43"/>
        <w:rPr>
          <w:rFonts w:hint="eastAsia" w:ascii="方正仿宋_GBK" w:hAnsi="方正仿宋_GBK" w:eastAsia="方正仿宋_GBK" w:cs="方正仿宋_GBK"/>
          <w:color w:val="000000"/>
          <w:sz w:val="24"/>
          <w:szCs w:val="24"/>
          <w:highlight w:val="none"/>
          <w:u w:val="none"/>
        </w:rPr>
      </w:pPr>
      <w:r>
        <w:rPr>
          <w:rFonts w:hint="eastAsia" w:ascii="方正仿宋_GBK" w:hAnsi="方正仿宋_GBK" w:eastAsia="方正仿宋_GBK" w:cs="方正仿宋_GBK"/>
          <w:color w:val="000000"/>
          <w:sz w:val="24"/>
          <w:szCs w:val="24"/>
          <w:highlight w:val="none"/>
          <w:u w:val="none"/>
        </w:rPr>
        <w:t>联系电话：</w:t>
      </w:r>
    </w:p>
    <w:p w14:paraId="1957EFC1">
      <w:pPr>
        <w:spacing w:line="360" w:lineRule="auto"/>
        <w:ind w:left="-2" w:leftChars="-50" w:hanging="103" w:hangingChars="43"/>
        <w:rPr>
          <w:rFonts w:hint="eastAsia" w:ascii="方正仿宋_GBK" w:hAnsi="方正仿宋_GBK" w:eastAsia="方正仿宋_GBK" w:cs="方正仿宋_GBK"/>
          <w:color w:val="000000"/>
          <w:sz w:val="24"/>
          <w:szCs w:val="24"/>
          <w:highlight w:val="none"/>
        </w:rPr>
      </w:pPr>
    </w:p>
    <w:p w14:paraId="1D7C3778">
      <w:pPr>
        <w:tabs>
          <w:tab w:val="left" w:pos="839"/>
        </w:tabs>
        <w:spacing w:line="360" w:lineRule="auto"/>
        <w:ind w:firstLine="547" w:firstLineChars="228"/>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rPr>
        <w:t>根据《中华人民共和国民法典》.《中华人民共和国政府采购法》等相关法律法规，就甲方向乙方采购事宜，甲乙双方在平等</w:t>
      </w:r>
      <w:r>
        <w:rPr>
          <w:rFonts w:hint="eastAsia" w:ascii="方正仿宋_GBK" w:hAnsi="方正仿宋_GBK" w:eastAsia="方正仿宋_GBK" w:cs="方正仿宋_GBK"/>
          <w:color w:val="000000"/>
          <w:sz w:val="24"/>
          <w:szCs w:val="24"/>
          <w:highlight w:val="none"/>
          <w:lang w:eastAsia="zh-CN"/>
        </w:rPr>
        <w:t>、</w:t>
      </w:r>
      <w:r>
        <w:rPr>
          <w:rFonts w:hint="eastAsia" w:ascii="方正仿宋_GBK" w:hAnsi="方正仿宋_GBK" w:eastAsia="方正仿宋_GBK" w:cs="方正仿宋_GBK"/>
          <w:color w:val="000000"/>
          <w:sz w:val="24"/>
          <w:szCs w:val="24"/>
          <w:highlight w:val="none"/>
        </w:rPr>
        <w:t>自愿</w:t>
      </w:r>
      <w:r>
        <w:rPr>
          <w:rFonts w:hint="eastAsia" w:ascii="方正仿宋_GBK" w:hAnsi="方正仿宋_GBK" w:eastAsia="方正仿宋_GBK" w:cs="方正仿宋_GBK"/>
          <w:color w:val="000000"/>
          <w:sz w:val="24"/>
          <w:szCs w:val="24"/>
          <w:highlight w:val="none"/>
          <w:lang w:eastAsia="zh-CN"/>
        </w:rPr>
        <w:t>、</w:t>
      </w:r>
      <w:r>
        <w:rPr>
          <w:rFonts w:hint="eastAsia" w:ascii="方正仿宋_GBK" w:hAnsi="方正仿宋_GBK" w:eastAsia="方正仿宋_GBK" w:cs="方正仿宋_GBK"/>
          <w:color w:val="000000"/>
          <w:sz w:val="24"/>
          <w:szCs w:val="24"/>
          <w:highlight w:val="none"/>
        </w:rPr>
        <w:t>互利原则上，经双方协商一致，签订本合同。</w:t>
      </w:r>
    </w:p>
    <w:p w14:paraId="0D8F28D3">
      <w:pPr>
        <w:tabs>
          <w:tab w:val="left" w:pos="839"/>
        </w:tabs>
        <w:spacing w:line="360" w:lineRule="auto"/>
        <w:ind w:firstLine="482" w:firstLineChars="200"/>
        <w:rPr>
          <w:rFonts w:hint="eastAsia" w:ascii="方正仿宋_GBK" w:hAnsi="方正仿宋_GBK" w:eastAsia="方正仿宋_GBK" w:cs="方正仿宋_GBK"/>
          <w:b/>
          <w:color w:val="000000"/>
          <w:sz w:val="24"/>
          <w:szCs w:val="24"/>
          <w:highlight w:val="none"/>
        </w:rPr>
      </w:pPr>
      <w:r>
        <w:rPr>
          <w:rFonts w:hint="eastAsia" w:ascii="方正仿宋_GBK" w:hAnsi="方正仿宋_GBK" w:eastAsia="方正仿宋_GBK" w:cs="方正仿宋_GBK"/>
          <w:b/>
          <w:color w:val="000000"/>
          <w:sz w:val="24"/>
          <w:szCs w:val="24"/>
          <w:highlight w:val="none"/>
        </w:rPr>
        <w:t>第一条合同标的及价款</w:t>
      </w:r>
    </w:p>
    <w:p w14:paraId="1EC6FECD">
      <w:pPr>
        <w:spacing w:line="360" w:lineRule="auto"/>
        <w:ind w:firstLine="547" w:firstLineChars="228"/>
        <w:rPr>
          <w:rFonts w:hint="default" w:ascii="方正仿宋_GBK" w:hAnsi="方正仿宋_GBK" w:eastAsia="方正仿宋_GBK" w:cs="方正仿宋_GBK"/>
          <w:color w:val="000000"/>
          <w:sz w:val="24"/>
          <w:szCs w:val="24"/>
          <w:highlight w:val="none"/>
          <w:lang w:val="en-US" w:eastAsia="zh-CN"/>
        </w:rPr>
      </w:pPr>
      <w:r>
        <w:rPr>
          <w:rFonts w:hint="eastAsia" w:ascii="方正仿宋_GBK" w:hAnsi="方正仿宋_GBK" w:eastAsia="方正仿宋_GBK" w:cs="方正仿宋_GBK"/>
          <w:color w:val="000000"/>
          <w:sz w:val="24"/>
          <w:szCs w:val="24"/>
          <w:highlight w:val="none"/>
        </w:rPr>
        <w:t>1.服务内容</w:t>
      </w:r>
      <w:r>
        <w:rPr>
          <w:rFonts w:hint="eastAsia" w:ascii="方正仿宋_GBK" w:hAnsi="方正仿宋_GBK" w:eastAsia="方正仿宋_GBK" w:cs="方正仿宋_GBK"/>
          <w:color w:val="000000"/>
          <w:sz w:val="24"/>
          <w:szCs w:val="24"/>
          <w:highlight w:val="none"/>
          <w:lang w:eastAsia="zh-CN"/>
        </w:rPr>
        <w:t>及要求</w:t>
      </w:r>
      <w:r>
        <w:rPr>
          <w:rFonts w:hint="eastAsia" w:ascii="方正仿宋_GBK" w:hAnsi="方正仿宋_GBK" w:eastAsia="方正仿宋_GBK" w:cs="方正仿宋_GBK"/>
          <w:color w:val="000000"/>
          <w:sz w:val="24"/>
          <w:szCs w:val="24"/>
          <w:highlight w:val="none"/>
        </w:rPr>
        <w:t>：</w:t>
      </w:r>
      <w:r>
        <w:rPr>
          <w:rFonts w:hint="eastAsia" w:ascii="方正仿宋_GBK" w:hAnsi="方正仿宋_GBK" w:eastAsia="方正仿宋_GBK" w:cs="方正仿宋_GBK"/>
          <w:color w:val="000000"/>
          <w:sz w:val="24"/>
          <w:szCs w:val="24"/>
          <w:highlight w:val="none"/>
          <w:lang w:eastAsia="zh-CN"/>
        </w:rPr>
        <w:t>详见附件</w:t>
      </w:r>
      <w:r>
        <w:rPr>
          <w:rFonts w:hint="eastAsia" w:ascii="方正仿宋_GBK" w:hAnsi="方正仿宋_GBK" w:eastAsia="方正仿宋_GBK" w:cs="方正仿宋_GBK"/>
          <w:color w:val="000000"/>
          <w:sz w:val="24"/>
          <w:szCs w:val="24"/>
          <w:highlight w:val="none"/>
          <w:lang w:val="en-US" w:eastAsia="zh-CN"/>
        </w:rPr>
        <w:t>1.</w:t>
      </w:r>
    </w:p>
    <w:p w14:paraId="208A6B45">
      <w:pPr>
        <w:spacing w:line="360" w:lineRule="auto"/>
        <w:ind w:firstLine="547" w:firstLineChars="228"/>
        <w:rPr>
          <w:rFonts w:hint="eastAsia" w:ascii="方正仿宋_GBK" w:hAnsi="方正仿宋_GBK" w:eastAsia="方正仿宋_GBK" w:cs="方正仿宋_GBK"/>
          <w:color w:val="000000"/>
          <w:kern w:val="0"/>
          <w:sz w:val="24"/>
          <w:szCs w:val="24"/>
          <w:highlight w:val="none"/>
        </w:rPr>
      </w:pPr>
      <w:r>
        <w:rPr>
          <w:rFonts w:hint="eastAsia" w:ascii="方正仿宋_GBK" w:hAnsi="方正仿宋_GBK" w:eastAsia="方正仿宋_GBK" w:cs="方正仿宋_GBK"/>
          <w:color w:val="000000"/>
          <w:sz w:val="24"/>
          <w:szCs w:val="24"/>
          <w:highlight w:val="none"/>
        </w:rPr>
        <w:t>2.合同金额：</w:t>
      </w:r>
      <w:r>
        <w:rPr>
          <w:rFonts w:hint="eastAsia" w:ascii="方正仿宋_GBK" w:hAnsi="方正仿宋_GBK" w:eastAsia="方正仿宋_GBK" w:cs="方正仿宋_GBK"/>
          <w:color w:val="000000"/>
          <w:sz w:val="24"/>
          <w:szCs w:val="24"/>
          <w:highlight w:val="none"/>
          <w:u w:val="single"/>
        </w:rPr>
        <w:t>元</w:t>
      </w:r>
      <w:r>
        <w:rPr>
          <w:rFonts w:hint="eastAsia" w:ascii="方正仿宋_GBK" w:hAnsi="方正仿宋_GBK" w:eastAsia="方正仿宋_GBK" w:cs="方正仿宋_GBK"/>
          <w:color w:val="000000"/>
          <w:sz w:val="24"/>
          <w:szCs w:val="24"/>
          <w:highlight w:val="none"/>
        </w:rPr>
        <w:t>大写（人民币）:</w:t>
      </w:r>
      <w:r>
        <w:rPr>
          <w:rFonts w:hint="eastAsia" w:ascii="方正仿宋_GBK" w:hAnsi="方正仿宋_GBK" w:eastAsia="方正仿宋_GBK" w:cs="方正仿宋_GBK"/>
          <w:color w:val="000000"/>
          <w:sz w:val="24"/>
          <w:szCs w:val="24"/>
          <w:highlight w:val="none"/>
          <w:u w:val="single"/>
        </w:rPr>
        <w:t>整</w:t>
      </w:r>
      <w:r>
        <w:rPr>
          <w:rFonts w:hint="eastAsia" w:ascii="方正仿宋_GBK" w:hAnsi="方正仿宋_GBK" w:eastAsia="方正仿宋_GBK" w:cs="方正仿宋_GBK"/>
          <w:color w:val="000000"/>
          <w:sz w:val="24"/>
          <w:szCs w:val="24"/>
          <w:highlight w:val="none"/>
        </w:rPr>
        <w:t>（含税）。该款项为合同总包价，</w:t>
      </w:r>
      <w:r>
        <w:rPr>
          <w:rFonts w:hint="eastAsia" w:ascii="方正仿宋_GBK" w:hAnsi="方正仿宋_GBK" w:eastAsia="方正仿宋_GBK" w:cs="方正仿宋_GBK"/>
          <w:sz w:val="24"/>
          <w:szCs w:val="24"/>
          <w:highlight w:val="none"/>
        </w:rPr>
        <w:t>包括但不限于服务费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lang w:eastAsia="zh-Hans"/>
        </w:rPr>
        <w:t>培训费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lang w:eastAsia="zh-Hans"/>
        </w:rPr>
        <w:t>维护费</w:t>
      </w:r>
      <w:r>
        <w:rPr>
          <w:rFonts w:hint="eastAsia" w:ascii="方正仿宋_GBK" w:hAnsi="方正仿宋_GBK" w:eastAsia="方正仿宋_GBK" w:cs="方正仿宋_GBK"/>
          <w:sz w:val="24"/>
          <w:szCs w:val="24"/>
          <w:highlight w:val="none"/>
          <w:lang w:eastAsia="zh-CN"/>
        </w:rPr>
        <w:t>、交通费、</w:t>
      </w:r>
      <w:r>
        <w:rPr>
          <w:rFonts w:hint="eastAsia" w:ascii="方正仿宋_GBK" w:hAnsi="方正仿宋_GBK" w:eastAsia="方正仿宋_GBK" w:cs="方正仿宋_GBK"/>
          <w:sz w:val="24"/>
          <w:szCs w:val="24"/>
          <w:highlight w:val="none"/>
        </w:rPr>
        <w:t>各项税费及合同实施过程中不可预见的全部费用。除此之外甲方无需向乙方另行支付任何费用</w:t>
      </w:r>
      <w:r>
        <w:rPr>
          <w:rFonts w:hint="eastAsia" w:ascii="方正仿宋_GBK" w:hAnsi="方正仿宋_GBK" w:eastAsia="方正仿宋_GBK" w:cs="方正仿宋_GBK"/>
          <w:color w:val="000000"/>
          <w:kern w:val="0"/>
          <w:sz w:val="24"/>
          <w:szCs w:val="24"/>
          <w:highlight w:val="none"/>
        </w:rPr>
        <w:t>。</w:t>
      </w:r>
    </w:p>
    <w:p w14:paraId="077D0EFE">
      <w:pPr>
        <w:spacing w:line="360" w:lineRule="auto"/>
        <w:ind w:firstLine="482" w:firstLineChars="200"/>
        <w:rPr>
          <w:rFonts w:hint="eastAsia" w:ascii="方正仿宋_GBK" w:hAnsi="方正仿宋_GBK" w:eastAsia="方正仿宋_GBK" w:cs="方正仿宋_GBK"/>
          <w:b/>
          <w:color w:val="000000"/>
          <w:sz w:val="24"/>
          <w:szCs w:val="24"/>
          <w:highlight w:val="none"/>
        </w:rPr>
      </w:pPr>
      <w:r>
        <w:rPr>
          <w:rFonts w:hint="eastAsia" w:ascii="方正仿宋_GBK" w:hAnsi="方正仿宋_GBK" w:eastAsia="方正仿宋_GBK" w:cs="方正仿宋_GBK"/>
          <w:b/>
          <w:color w:val="000000"/>
          <w:sz w:val="24"/>
          <w:szCs w:val="24"/>
          <w:highlight w:val="none"/>
        </w:rPr>
        <w:t>第二条服务时间及服务地点</w:t>
      </w:r>
    </w:p>
    <w:p w14:paraId="2FFC6F11">
      <w:pPr>
        <w:tabs>
          <w:tab w:val="left" w:pos="839"/>
        </w:tabs>
        <w:spacing w:line="360" w:lineRule="auto"/>
        <w:ind w:firstLine="480" w:firstLineChars="200"/>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rPr>
        <w:t>1.服务时间：</w:t>
      </w:r>
      <w:r>
        <w:rPr>
          <w:rFonts w:hint="eastAsia" w:ascii="方正仿宋_GBK" w:hAnsi="方正仿宋_GBK" w:eastAsia="方正仿宋_GBK" w:cs="方正仿宋_GBK"/>
          <w:color w:val="000000"/>
          <w:sz w:val="24"/>
          <w:szCs w:val="24"/>
          <w:highlight w:val="none"/>
          <w:u w:val="single"/>
        </w:rPr>
        <w:t>自合同签订起</w:t>
      </w:r>
      <w:r>
        <w:rPr>
          <w:rFonts w:hint="eastAsia" w:ascii="方正仿宋_GBK" w:hAnsi="方正仿宋_GBK" w:eastAsia="方正仿宋_GBK" w:cs="方正仿宋_GBK"/>
          <w:color w:val="000000"/>
          <w:sz w:val="24"/>
          <w:szCs w:val="24"/>
          <w:highlight w:val="none"/>
          <w:u w:val="single"/>
          <w:lang w:val="en-US" w:eastAsia="zh-CN"/>
        </w:rPr>
        <w:t>2</w:t>
      </w:r>
      <w:r>
        <w:rPr>
          <w:rFonts w:hint="eastAsia" w:ascii="方正仿宋_GBK" w:hAnsi="方正仿宋_GBK" w:eastAsia="方正仿宋_GBK" w:cs="方正仿宋_GBK"/>
          <w:color w:val="000000"/>
          <w:sz w:val="24"/>
          <w:szCs w:val="24"/>
          <w:highlight w:val="none"/>
          <w:u w:val="single"/>
        </w:rPr>
        <w:t>年</w:t>
      </w:r>
      <w:r>
        <w:rPr>
          <w:rFonts w:hint="eastAsia" w:ascii="方正仿宋_GBK" w:hAnsi="方正仿宋_GBK" w:eastAsia="方正仿宋_GBK" w:cs="方正仿宋_GBK"/>
          <w:color w:val="000000"/>
          <w:sz w:val="24"/>
          <w:szCs w:val="24"/>
          <w:highlight w:val="none"/>
        </w:rPr>
        <w:t>；</w:t>
      </w:r>
    </w:p>
    <w:p w14:paraId="7B73F28C">
      <w:pPr>
        <w:tabs>
          <w:tab w:val="left" w:pos="839"/>
        </w:tabs>
        <w:spacing w:line="360" w:lineRule="auto"/>
        <w:ind w:firstLine="480" w:firstLineChars="200"/>
        <w:rPr>
          <w:rFonts w:hint="eastAsia" w:ascii="方正仿宋_GBK" w:hAnsi="方正仿宋_GBK" w:eastAsia="方正仿宋_GBK" w:cs="方正仿宋_GBK"/>
          <w:color w:val="000000"/>
          <w:kern w:val="0"/>
          <w:sz w:val="24"/>
          <w:szCs w:val="24"/>
          <w:highlight w:val="none"/>
          <w:lang w:eastAsia="zh-CN"/>
        </w:rPr>
      </w:pPr>
      <w:r>
        <w:rPr>
          <w:rFonts w:hint="eastAsia" w:ascii="方正仿宋_GBK" w:hAnsi="方正仿宋_GBK" w:eastAsia="方正仿宋_GBK" w:cs="方正仿宋_GBK"/>
          <w:color w:val="000000"/>
          <w:sz w:val="24"/>
          <w:szCs w:val="24"/>
          <w:highlight w:val="none"/>
        </w:rPr>
        <w:t>2.服务地点：</w:t>
      </w:r>
      <w:r>
        <w:rPr>
          <w:rFonts w:hint="eastAsia" w:ascii="方正仿宋_GBK" w:hAnsi="方正仿宋_GBK" w:eastAsia="方正仿宋_GBK" w:cs="方正仿宋_GBK"/>
          <w:color w:val="000000"/>
          <w:sz w:val="24"/>
          <w:szCs w:val="24"/>
          <w:highlight w:val="none"/>
          <w:u w:val="single"/>
        </w:rPr>
        <w:t>惠州市第六人民医院</w:t>
      </w:r>
      <w:r>
        <w:rPr>
          <w:rFonts w:hint="eastAsia" w:ascii="方正仿宋_GBK" w:hAnsi="方正仿宋_GBK" w:eastAsia="方正仿宋_GBK" w:cs="方正仿宋_GBK"/>
          <w:color w:val="000000"/>
          <w:sz w:val="24"/>
          <w:szCs w:val="24"/>
          <w:highlight w:val="none"/>
          <w:u w:val="single"/>
          <w:lang w:eastAsia="zh-CN"/>
        </w:rPr>
        <w:t>。</w:t>
      </w:r>
    </w:p>
    <w:p w14:paraId="1DE322E5">
      <w:pPr>
        <w:spacing w:line="360" w:lineRule="auto"/>
        <w:ind w:firstLine="482" w:firstLineChars="200"/>
        <w:rPr>
          <w:rFonts w:hint="eastAsia" w:ascii="方正仿宋_GBK" w:hAnsi="方正仿宋_GBK" w:eastAsia="方正仿宋_GBK" w:cs="方正仿宋_GBK"/>
          <w:b/>
          <w:color w:val="000000"/>
          <w:sz w:val="24"/>
          <w:szCs w:val="24"/>
          <w:highlight w:val="none"/>
          <w:lang w:eastAsia="zh-CN"/>
        </w:rPr>
      </w:pPr>
      <w:r>
        <w:rPr>
          <w:rFonts w:hint="eastAsia" w:ascii="方正仿宋_GBK" w:hAnsi="方正仿宋_GBK" w:eastAsia="方正仿宋_GBK" w:cs="方正仿宋_GBK"/>
          <w:b/>
          <w:color w:val="000000"/>
          <w:sz w:val="24"/>
          <w:szCs w:val="24"/>
          <w:highlight w:val="none"/>
        </w:rPr>
        <w:t>第三条付款期限和方式</w:t>
      </w:r>
    </w:p>
    <w:p w14:paraId="5BA2C9B4">
      <w:pPr>
        <w:pStyle w:val="205"/>
        <w:ind w:firstLine="480"/>
        <w:jc w:val="both"/>
        <w:rPr>
          <w:rFonts w:hint="eastAsia" w:ascii="方正仿宋_GBK" w:hAnsi="方正仿宋_GBK" w:eastAsia="方正仿宋_GBK" w:cs="方正仿宋_GBK"/>
          <w:b/>
          <w:sz w:val="24"/>
        </w:rPr>
      </w:pPr>
      <w:r>
        <w:rPr>
          <w:rFonts w:hint="eastAsia" w:ascii="方正仿宋_GBK" w:hAnsi="方正仿宋_GBK" w:eastAsia="方正仿宋_GBK" w:cs="方正仿宋_GBK"/>
          <w:b/>
          <w:sz w:val="24"/>
        </w:rPr>
        <w:t>本合同的合同金额分</w:t>
      </w:r>
      <w:r>
        <w:rPr>
          <w:rFonts w:hint="eastAsia" w:ascii="方正仿宋_GBK" w:hAnsi="方正仿宋_GBK" w:eastAsia="方正仿宋_GBK" w:cs="方正仿宋_GBK"/>
          <w:b/>
          <w:sz w:val="24"/>
          <w:lang w:eastAsia="zh-CN"/>
        </w:rPr>
        <w:t>两</w:t>
      </w:r>
      <w:r>
        <w:rPr>
          <w:rFonts w:hint="eastAsia" w:ascii="方正仿宋_GBK" w:hAnsi="方正仿宋_GBK" w:eastAsia="方正仿宋_GBK" w:cs="方正仿宋_GBK"/>
          <w:b/>
          <w:sz w:val="24"/>
        </w:rPr>
        <w:t>年支付，具体每年的支付方式如下：</w:t>
      </w:r>
    </w:p>
    <w:p w14:paraId="772D0470">
      <w:pPr>
        <w:pStyle w:val="205"/>
        <w:ind w:firstLine="480"/>
        <w:jc w:val="both"/>
        <w:rPr>
          <w:rFonts w:hint="eastAsia" w:ascii="方正仿宋_GBK" w:hAnsi="方正仿宋_GBK" w:eastAsia="方正仿宋_GBK" w:cs="方正仿宋_GBK"/>
        </w:rPr>
      </w:pPr>
      <w:r>
        <w:rPr>
          <w:rFonts w:hint="eastAsia" w:ascii="方正仿宋_GBK" w:hAnsi="方正仿宋_GBK" w:eastAsia="方正仿宋_GBK" w:cs="方正仿宋_GBK"/>
          <w:sz w:val="24"/>
        </w:rPr>
        <w:t>1</w:t>
      </w:r>
      <w:r>
        <w:rPr>
          <w:rFonts w:hint="eastAsia" w:ascii="方正仿宋_GBK" w:hAnsi="方正仿宋_GBK" w:eastAsia="方正仿宋_GBK" w:cs="方正仿宋_GBK"/>
          <w:sz w:val="24"/>
          <w:lang w:eastAsia="zh-CN"/>
        </w:rPr>
        <w:t>.</w:t>
      </w:r>
      <w:r>
        <w:rPr>
          <w:rFonts w:hint="eastAsia" w:ascii="方正仿宋_GBK" w:hAnsi="方正仿宋_GBK" w:eastAsia="方正仿宋_GBK" w:cs="方正仿宋_GBK"/>
          <w:sz w:val="24"/>
        </w:rPr>
        <w:t>第一年费用元大写（人民币）:整：合同签订后乙方开始执行，至合同签订后的半年后，支付第一年费用的50%，即人民币元整</w:t>
      </w:r>
      <w:r>
        <w:rPr>
          <w:rFonts w:hint="eastAsia" w:ascii="方正仿宋_GBK" w:hAnsi="方正仿宋_GBK" w:eastAsia="方正仿宋_GBK" w:cs="方正仿宋_GBK"/>
          <w:sz w:val="24"/>
          <w:lang w:eastAsia="zh-CN"/>
        </w:rPr>
        <w:t>大写（人民币）整</w:t>
      </w:r>
      <w:r>
        <w:rPr>
          <w:rFonts w:hint="eastAsia" w:ascii="方正仿宋_GBK" w:hAnsi="方正仿宋_GBK" w:eastAsia="方正仿宋_GBK" w:cs="方正仿宋_GBK"/>
          <w:sz w:val="24"/>
        </w:rPr>
        <w:t>；合同签订后第一年的维护期结束且经过甲方考</w:t>
      </w:r>
      <w:r>
        <w:rPr>
          <w:rFonts w:hint="eastAsia" w:ascii="方正仿宋_GBK" w:hAnsi="方正仿宋_GBK" w:eastAsia="方正仿宋_GBK" w:cs="方正仿宋_GBK"/>
          <w:sz w:val="24"/>
          <w:lang w:eastAsia="zh-CN"/>
        </w:rPr>
        <w:t>核</w:t>
      </w:r>
      <w:r>
        <w:rPr>
          <w:rFonts w:hint="eastAsia" w:ascii="方正仿宋_GBK" w:hAnsi="方正仿宋_GBK" w:eastAsia="方正仿宋_GBK" w:cs="方正仿宋_GBK"/>
          <w:sz w:val="24"/>
        </w:rPr>
        <w:t>验收合格后，支付第一年费用剩余的50%，即人民币元整</w:t>
      </w:r>
      <w:r>
        <w:rPr>
          <w:rFonts w:hint="eastAsia" w:ascii="方正仿宋_GBK" w:hAnsi="方正仿宋_GBK" w:eastAsia="方正仿宋_GBK" w:cs="方正仿宋_GBK"/>
          <w:sz w:val="24"/>
          <w:lang w:eastAsia="zh-CN"/>
        </w:rPr>
        <w:t>大写（人民币）整</w:t>
      </w:r>
      <w:r>
        <w:rPr>
          <w:rFonts w:hint="eastAsia" w:ascii="方正仿宋_GBK" w:hAnsi="方正仿宋_GBK" w:eastAsia="方正仿宋_GBK" w:cs="方正仿宋_GBK"/>
          <w:sz w:val="24"/>
        </w:rPr>
        <w:t>。</w:t>
      </w:r>
    </w:p>
    <w:p w14:paraId="50CA866A">
      <w:pPr>
        <w:pStyle w:val="205"/>
        <w:ind w:firstLine="420"/>
        <w:jc w:val="both"/>
        <w:rPr>
          <w:rFonts w:hint="eastAsia" w:ascii="方正仿宋_GBK" w:hAnsi="方正仿宋_GBK" w:eastAsia="方正仿宋_GBK" w:cs="方正仿宋_GBK"/>
        </w:rPr>
      </w:pPr>
      <w:r>
        <w:rPr>
          <w:rFonts w:hint="eastAsia" w:ascii="方正仿宋_GBK" w:hAnsi="方正仿宋_GBK" w:eastAsia="方正仿宋_GBK" w:cs="方正仿宋_GBK"/>
          <w:sz w:val="24"/>
        </w:rPr>
        <w:t>2</w:t>
      </w:r>
      <w:r>
        <w:rPr>
          <w:rFonts w:hint="eastAsia" w:ascii="方正仿宋_GBK" w:hAnsi="方正仿宋_GBK" w:eastAsia="方正仿宋_GBK" w:cs="方正仿宋_GBK"/>
          <w:sz w:val="24"/>
          <w:lang w:eastAsia="zh-CN"/>
        </w:rPr>
        <w:t>.</w:t>
      </w:r>
      <w:r>
        <w:rPr>
          <w:rFonts w:hint="eastAsia" w:ascii="方正仿宋_GBK" w:hAnsi="方正仿宋_GBK" w:eastAsia="方正仿宋_GBK" w:cs="方正仿宋_GBK"/>
          <w:sz w:val="24"/>
        </w:rPr>
        <w:t>第二年费用元大写（人民币）:整：在合同第二年服务开始的半年且甲方考</w:t>
      </w:r>
      <w:r>
        <w:rPr>
          <w:rFonts w:hint="eastAsia" w:ascii="方正仿宋_GBK" w:hAnsi="方正仿宋_GBK" w:eastAsia="方正仿宋_GBK" w:cs="方正仿宋_GBK"/>
          <w:sz w:val="24"/>
          <w:lang w:eastAsia="zh-CN"/>
        </w:rPr>
        <w:t>核</w:t>
      </w:r>
      <w:r>
        <w:rPr>
          <w:rFonts w:hint="eastAsia" w:ascii="方正仿宋_GBK" w:hAnsi="方正仿宋_GBK" w:eastAsia="方正仿宋_GBK" w:cs="方正仿宋_GBK"/>
          <w:sz w:val="24"/>
        </w:rPr>
        <w:t>验收合格后，支付第二年费用的50%，即人民币元整</w:t>
      </w:r>
      <w:r>
        <w:rPr>
          <w:rFonts w:hint="eastAsia" w:ascii="方正仿宋_GBK" w:hAnsi="方正仿宋_GBK" w:eastAsia="方正仿宋_GBK" w:cs="方正仿宋_GBK"/>
          <w:sz w:val="24"/>
          <w:lang w:eastAsia="zh-CN"/>
        </w:rPr>
        <w:t>大写（人民币）整</w:t>
      </w:r>
      <w:r>
        <w:rPr>
          <w:rFonts w:hint="eastAsia" w:ascii="方正仿宋_GBK" w:hAnsi="方正仿宋_GBK" w:eastAsia="方正仿宋_GBK" w:cs="方正仿宋_GBK"/>
          <w:sz w:val="24"/>
        </w:rPr>
        <w:t>；合同签订后第二年的维护期结束且甲方考</w:t>
      </w:r>
      <w:r>
        <w:rPr>
          <w:rFonts w:hint="eastAsia" w:ascii="方正仿宋_GBK" w:hAnsi="方正仿宋_GBK" w:eastAsia="方正仿宋_GBK" w:cs="方正仿宋_GBK"/>
          <w:sz w:val="24"/>
          <w:lang w:eastAsia="zh-CN"/>
        </w:rPr>
        <w:t>核</w:t>
      </w:r>
      <w:r>
        <w:rPr>
          <w:rFonts w:hint="eastAsia" w:ascii="方正仿宋_GBK" w:hAnsi="方正仿宋_GBK" w:eastAsia="方正仿宋_GBK" w:cs="方正仿宋_GBK"/>
          <w:sz w:val="24"/>
        </w:rPr>
        <w:t>验收合格后，支付第二年费用剩余的50%，即人民币元整</w:t>
      </w:r>
      <w:r>
        <w:rPr>
          <w:rFonts w:hint="eastAsia" w:ascii="方正仿宋_GBK" w:hAnsi="方正仿宋_GBK" w:eastAsia="方正仿宋_GBK" w:cs="方正仿宋_GBK"/>
          <w:sz w:val="24"/>
          <w:lang w:eastAsia="zh-CN"/>
        </w:rPr>
        <w:t>大写（人民币）整</w:t>
      </w:r>
      <w:r>
        <w:rPr>
          <w:rFonts w:hint="eastAsia" w:ascii="方正仿宋_GBK" w:hAnsi="方正仿宋_GBK" w:eastAsia="方正仿宋_GBK" w:cs="方正仿宋_GBK"/>
          <w:sz w:val="24"/>
        </w:rPr>
        <w:t>。</w:t>
      </w:r>
    </w:p>
    <w:p w14:paraId="075B752D">
      <w:pPr>
        <w:pStyle w:val="205"/>
        <w:ind w:firstLine="420"/>
        <w:jc w:val="both"/>
        <w:rPr>
          <w:rFonts w:hint="eastAsia" w:ascii="方正仿宋_GBK" w:hAnsi="方正仿宋_GBK" w:eastAsia="方正仿宋_GBK" w:cs="方正仿宋_GBK"/>
          <w:sz w:val="24"/>
        </w:rPr>
      </w:pPr>
      <w:r>
        <w:rPr>
          <w:rFonts w:hint="eastAsia" w:ascii="方正仿宋_GBK" w:hAnsi="方正仿宋_GBK" w:eastAsia="方正仿宋_GBK" w:cs="方正仿宋_GBK"/>
          <w:sz w:val="24"/>
          <w:lang w:val="en-US" w:eastAsia="zh-CN"/>
        </w:rPr>
        <w:t>4</w:t>
      </w:r>
      <w:r>
        <w:rPr>
          <w:rFonts w:hint="eastAsia" w:ascii="方正仿宋_GBK" w:hAnsi="方正仿宋_GBK" w:eastAsia="方正仿宋_GBK" w:cs="方正仿宋_GBK"/>
          <w:sz w:val="24"/>
        </w:rPr>
        <w:t>.乙方应在甲方付款前应向甲方开具正式等额发票，否则甲方有权暂停付款且不承担逾期付款的违约责任。</w:t>
      </w:r>
    </w:p>
    <w:p w14:paraId="0E8E3D71">
      <w:pPr>
        <w:spacing w:line="360" w:lineRule="auto"/>
        <w:ind w:firstLine="480" w:firstLineChars="200"/>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lang w:val="en-US" w:eastAsia="zh-CN"/>
        </w:rPr>
        <w:t>5</w:t>
      </w:r>
      <w:r>
        <w:rPr>
          <w:rFonts w:hint="eastAsia" w:ascii="方正仿宋_GBK" w:hAnsi="方正仿宋_GBK" w:eastAsia="方正仿宋_GBK" w:cs="方正仿宋_GBK"/>
          <w:color w:val="000000"/>
          <w:sz w:val="24"/>
          <w:szCs w:val="24"/>
          <w:highlight w:val="none"/>
        </w:rPr>
        <w:t>.甲方开票信息：</w:t>
      </w:r>
    </w:p>
    <w:p w14:paraId="017E74B9">
      <w:pPr>
        <w:spacing w:line="360" w:lineRule="auto"/>
        <w:ind w:firstLine="480" w:firstLineChars="200"/>
        <w:rPr>
          <w:rFonts w:hint="eastAsia" w:ascii="方正仿宋_GBK" w:hAnsi="方正仿宋_GBK" w:eastAsia="方正仿宋_GBK" w:cs="方正仿宋_GBK"/>
          <w:color w:val="000000"/>
          <w:sz w:val="24"/>
          <w:szCs w:val="24"/>
          <w:highlight w:val="none"/>
          <w:lang w:eastAsia="zh-CN"/>
        </w:rPr>
      </w:pPr>
      <w:r>
        <w:rPr>
          <w:rFonts w:hint="eastAsia" w:ascii="方正仿宋_GBK" w:hAnsi="方正仿宋_GBK" w:eastAsia="方正仿宋_GBK" w:cs="方正仿宋_GBK"/>
          <w:color w:val="000000"/>
          <w:sz w:val="24"/>
          <w:szCs w:val="24"/>
          <w:highlight w:val="none"/>
        </w:rPr>
        <w:t>发票抬头：</w:t>
      </w:r>
      <w:r>
        <w:rPr>
          <w:rFonts w:hint="eastAsia" w:ascii="方正仿宋_GBK" w:hAnsi="方正仿宋_GBK" w:eastAsia="方正仿宋_GBK" w:cs="方正仿宋_GBK"/>
          <w:color w:val="000000"/>
          <w:sz w:val="24"/>
          <w:szCs w:val="24"/>
          <w:highlight w:val="none"/>
          <w:u w:val="single"/>
        </w:rPr>
        <w:t>惠州市第六人民医院</w:t>
      </w:r>
      <w:r>
        <w:rPr>
          <w:rFonts w:hint="eastAsia" w:ascii="方正仿宋_GBK" w:hAnsi="方正仿宋_GBK" w:eastAsia="方正仿宋_GBK" w:cs="方正仿宋_GBK"/>
          <w:color w:val="000000"/>
          <w:sz w:val="24"/>
          <w:szCs w:val="24"/>
          <w:highlight w:val="none"/>
        </w:rPr>
        <w:t>；</w:t>
      </w:r>
    </w:p>
    <w:p w14:paraId="782287DB">
      <w:pPr>
        <w:spacing w:line="360" w:lineRule="auto"/>
        <w:ind w:firstLine="480" w:firstLineChars="200"/>
        <w:rPr>
          <w:rFonts w:hint="eastAsia" w:ascii="方正仿宋_GBK" w:hAnsi="方正仿宋_GBK" w:eastAsia="方正仿宋_GBK" w:cs="方正仿宋_GBK"/>
          <w:color w:val="000000"/>
          <w:sz w:val="24"/>
          <w:szCs w:val="24"/>
          <w:highlight w:val="none"/>
          <w:lang w:eastAsia="zh-CN"/>
        </w:rPr>
      </w:pPr>
      <w:r>
        <w:rPr>
          <w:rFonts w:hint="eastAsia" w:ascii="方正仿宋_GBK" w:hAnsi="方正仿宋_GBK" w:eastAsia="方正仿宋_GBK" w:cs="方正仿宋_GBK"/>
          <w:color w:val="000000"/>
          <w:sz w:val="24"/>
          <w:szCs w:val="24"/>
          <w:highlight w:val="none"/>
        </w:rPr>
        <w:t>纳税人识别号：</w:t>
      </w:r>
      <w:r>
        <w:rPr>
          <w:rFonts w:hint="eastAsia" w:ascii="方正仿宋_GBK" w:hAnsi="方正仿宋_GBK" w:eastAsia="方正仿宋_GBK" w:cs="方正仿宋_GBK"/>
          <w:color w:val="000000"/>
          <w:sz w:val="24"/>
          <w:szCs w:val="24"/>
          <w:highlight w:val="none"/>
          <w:u w:val="single"/>
        </w:rPr>
        <w:t>12441303456694522Y</w:t>
      </w:r>
      <w:r>
        <w:rPr>
          <w:rFonts w:hint="eastAsia" w:ascii="方正仿宋_GBK" w:hAnsi="方正仿宋_GBK" w:eastAsia="方正仿宋_GBK" w:cs="方正仿宋_GBK"/>
          <w:color w:val="000000"/>
          <w:sz w:val="24"/>
          <w:szCs w:val="24"/>
          <w:highlight w:val="none"/>
        </w:rPr>
        <w:t>；</w:t>
      </w:r>
    </w:p>
    <w:p w14:paraId="06BC5449">
      <w:pPr>
        <w:spacing w:line="360" w:lineRule="auto"/>
        <w:ind w:firstLine="480" w:firstLineChars="200"/>
        <w:rPr>
          <w:rFonts w:hint="eastAsia" w:ascii="方正仿宋_GBK" w:hAnsi="方正仿宋_GBK" w:eastAsia="方正仿宋_GBK" w:cs="方正仿宋_GBK"/>
          <w:color w:val="000000"/>
          <w:sz w:val="24"/>
          <w:szCs w:val="24"/>
          <w:highlight w:val="none"/>
        </w:rPr>
      </w:pPr>
      <w:r>
        <w:rPr>
          <w:rFonts w:hint="eastAsia" w:ascii="方正仿宋_GBK" w:hAnsi="方正仿宋_GBK" w:eastAsia="方正仿宋_GBK" w:cs="方正仿宋_GBK"/>
          <w:color w:val="000000"/>
          <w:sz w:val="24"/>
          <w:szCs w:val="24"/>
          <w:highlight w:val="none"/>
          <w:lang w:val="en-US" w:eastAsia="zh-CN"/>
        </w:rPr>
        <w:t>6</w:t>
      </w:r>
      <w:r>
        <w:rPr>
          <w:rFonts w:hint="eastAsia" w:ascii="方正仿宋_GBK" w:hAnsi="方正仿宋_GBK" w:eastAsia="方正仿宋_GBK" w:cs="方正仿宋_GBK"/>
          <w:color w:val="000000"/>
          <w:sz w:val="24"/>
          <w:szCs w:val="24"/>
          <w:highlight w:val="none"/>
        </w:rPr>
        <w:t>.乙方指定银行账户信息：</w:t>
      </w:r>
    </w:p>
    <w:p w14:paraId="4888E447">
      <w:pPr>
        <w:spacing w:line="360" w:lineRule="auto"/>
        <w:ind w:firstLine="480" w:firstLineChars="200"/>
        <w:rPr>
          <w:rFonts w:hint="eastAsia" w:ascii="方正仿宋_GBK" w:hAnsi="方正仿宋_GBK" w:eastAsia="方正仿宋_GBK" w:cs="方正仿宋_GBK"/>
          <w:color w:val="000000"/>
          <w:sz w:val="24"/>
          <w:szCs w:val="24"/>
          <w:highlight w:val="none"/>
          <w:u w:val="single"/>
        </w:rPr>
      </w:pPr>
      <w:r>
        <w:rPr>
          <w:rFonts w:hint="eastAsia" w:ascii="方正仿宋_GBK" w:hAnsi="方正仿宋_GBK" w:eastAsia="方正仿宋_GBK" w:cs="方正仿宋_GBK"/>
          <w:color w:val="000000"/>
          <w:sz w:val="24"/>
          <w:szCs w:val="24"/>
          <w:highlight w:val="none"/>
        </w:rPr>
        <w:t>公司名称:</w:t>
      </w:r>
      <w:r>
        <w:rPr>
          <w:rFonts w:hint="eastAsia" w:ascii="方正仿宋_GBK" w:hAnsi="方正仿宋_GBK" w:eastAsia="方正仿宋_GBK" w:cs="方正仿宋_GBK"/>
          <w:color w:val="000000"/>
          <w:sz w:val="24"/>
          <w:szCs w:val="24"/>
          <w:highlight w:val="none"/>
          <w:u w:val="single"/>
        </w:rPr>
        <w:t>；</w:t>
      </w:r>
    </w:p>
    <w:p w14:paraId="3FD86F2F">
      <w:pPr>
        <w:spacing w:line="360" w:lineRule="auto"/>
        <w:ind w:firstLine="480" w:firstLineChars="200"/>
        <w:rPr>
          <w:rFonts w:hint="eastAsia" w:ascii="方正仿宋_GBK" w:hAnsi="方正仿宋_GBK" w:eastAsia="方正仿宋_GBK" w:cs="方正仿宋_GBK"/>
          <w:color w:val="000000"/>
          <w:sz w:val="24"/>
          <w:szCs w:val="24"/>
          <w:highlight w:val="none"/>
          <w:u w:val="single"/>
        </w:rPr>
      </w:pPr>
      <w:r>
        <w:rPr>
          <w:rFonts w:hint="eastAsia" w:ascii="方正仿宋_GBK" w:hAnsi="方正仿宋_GBK" w:eastAsia="方正仿宋_GBK" w:cs="方正仿宋_GBK"/>
          <w:color w:val="000000"/>
          <w:sz w:val="24"/>
          <w:szCs w:val="24"/>
          <w:highlight w:val="none"/>
        </w:rPr>
        <w:t>开户行:</w:t>
      </w:r>
      <w:r>
        <w:rPr>
          <w:rFonts w:hint="eastAsia" w:ascii="方正仿宋_GBK" w:hAnsi="方正仿宋_GBK" w:eastAsia="方正仿宋_GBK" w:cs="方正仿宋_GBK"/>
          <w:color w:val="000000"/>
          <w:sz w:val="24"/>
          <w:szCs w:val="24"/>
          <w:highlight w:val="none"/>
          <w:u w:val="single"/>
        </w:rPr>
        <w:t>；</w:t>
      </w:r>
    </w:p>
    <w:p w14:paraId="18474087">
      <w:pPr>
        <w:spacing w:line="360" w:lineRule="auto"/>
        <w:ind w:firstLine="480" w:firstLineChars="200"/>
        <w:rPr>
          <w:rFonts w:hint="eastAsia" w:ascii="方正仿宋_GBK" w:hAnsi="方正仿宋_GBK" w:eastAsia="方正仿宋_GBK" w:cs="方正仿宋_GBK"/>
          <w:color w:val="000000"/>
          <w:sz w:val="24"/>
          <w:szCs w:val="24"/>
          <w:highlight w:val="none"/>
          <w:u w:val="single"/>
        </w:rPr>
      </w:pPr>
      <w:r>
        <w:rPr>
          <w:rFonts w:hint="eastAsia" w:ascii="方正仿宋_GBK" w:hAnsi="方正仿宋_GBK" w:eastAsia="方正仿宋_GBK" w:cs="方正仿宋_GBK"/>
          <w:color w:val="000000"/>
          <w:sz w:val="24"/>
          <w:szCs w:val="24"/>
          <w:highlight w:val="none"/>
        </w:rPr>
        <w:t>帐号:</w:t>
      </w:r>
      <w:r>
        <w:rPr>
          <w:rFonts w:hint="eastAsia" w:ascii="方正仿宋_GBK" w:hAnsi="方正仿宋_GBK" w:eastAsia="方正仿宋_GBK" w:cs="方正仿宋_GBK"/>
          <w:color w:val="000000"/>
          <w:sz w:val="24"/>
          <w:szCs w:val="24"/>
          <w:highlight w:val="none"/>
          <w:u w:val="single"/>
        </w:rPr>
        <w:t>；</w:t>
      </w:r>
    </w:p>
    <w:p w14:paraId="00697AC4">
      <w:pPr>
        <w:spacing w:line="360" w:lineRule="auto"/>
        <w:ind w:firstLine="480" w:firstLineChars="200"/>
        <w:rPr>
          <w:rFonts w:hint="eastAsia" w:ascii="方正仿宋_GBK" w:hAnsi="方正仿宋_GBK" w:eastAsia="方正仿宋_GBK" w:cs="方正仿宋_GBK"/>
          <w:color w:val="000000"/>
          <w:sz w:val="24"/>
          <w:szCs w:val="24"/>
          <w:highlight w:val="none"/>
          <w:u w:val="single"/>
        </w:rPr>
      </w:pPr>
      <w:r>
        <w:rPr>
          <w:rFonts w:hint="eastAsia" w:ascii="方正仿宋_GBK" w:hAnsi="方正仿宋_GBK" w:eastAsia="方正仿宋_GBK" w:cs="方正仿宋_GBK"/>
          <w:sz w:val="24"/>
          <w:szCs w:val="24"/>
          <w:highlight w:val="none"/>
        </w:rPr>
        <w:t>乙方账户发生变更的，应在变更后三日内书面通知甲方，否则因此造成的损失由乙方承担。</w:t>
      </w:r>
    </w:p>
    <w:p w14:paraId="540E930E">
      <w:pPr>
        <w:spacing w:line="360" w:lineRule="auto"/>
        <w:ind w:firstLine="482" w:firstLineChars="200"/>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第四条甲方的权利和义务</w:t>
      </w:r>
    </w:p>
    <w:p w14:paraId="70AA27A0">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1.对乙方提供的服务工作进行监督并提出指导意见；</w:t>
      </w:r>
    </w:p>
    <w:p w14:paraId="67CD3EC5">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2.对本合同标的服务报告进行审核确认；</w:t>
      </w:r>
    </w:p>
    <w:p w14:paraId="1F531FE2">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3.按照合同约定支付合同价款；</w:t>
      </w:r>
    </w:p>
    <w:p w14:paraId="4603A35B">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4.为乙方提供必要的工作条件，尽量为乙方协调解决服务开展中出现的问题。</w:t>
      </w:r>
    </w:p>
    <w:p w14:paraId="130044E8">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5.根据《运维考核评价表》（见附件）对乙方提供的服务进行考</w:t>
      </w:r>
      <w:r>
        <w:rPr>
          <w:rFonts w:hint="eastAsia" w:ascii="方正仿宋_GBK" w:hAnsi="方正仿宋_GBK" w:eastAsia="方正仿宋_GBK" w:cs="方正仿宋_GBK"/>
          <w:sz w:val="24"/>
          <w:szCs w:val="24"/>
          <w:highlight w:val="none"/>
          <w:lang w:eastAsia="zh-CN"/>
        </w:rPr>
        <w:t>核</w:t>
      </w:r>
      <w:r>
        <w:rPr>
          <w:rFonts w:hint="eastAsia" w:ascii="方正仿宋_GBK" w:hAnsi="方正仿宋_GBK" w:eastAsia="方正仿宋_GBK" w:cs="方正仿宋_GBK"/>
          <w:sz w:val="24"/>
          <w:szCs w:val="24"/>
          <w:highlight w:val="none"/>
        </w:rPr>
        <w:t>，发现乙方不符合要求或乙方存在违约行为，有权要求乙方改正并按评价表要求扣罚，乙方拒不改正的，甲方有权解除合同。</w:t>
      </w:r>
    </w:p>
    <w:p w14:paraId="238B6059">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6.</w:t>
      </w:r>
      <w:r>
        <w:rPr>
          <w:rFonts w:hint="eastAsia" w:ascii="方正仿宋_GBK" w:hAnsi="方正仿宋_GBK" w:eastAsia="方正仿宋_GBK" w:cs="方正仿宋_GBK"/>
          <w:sz w:val="24"/>
          <w:szCs w:val="24"/>
          <w:highlight w:val="none"/>
          <w:lang w:eastAsia="zh-Hans"/>
        </w:rPr>
        <w:t>有权要求乙方按照本合同约定提交服务成果</w:t>
      </w:r>
      <w:r>
        <w:rPr>
          <w:rFonts w:hint="eastAsia" w:ascii="方正仿宋_GBK" w:hAnsi="方正仿宋_GBK" w:eastAsia="方正仿宋_GBK" w:cs="方正仿宋_GBK"/>
          <w:sz w:val="24"/>
          <w:szCs w:val="24"/>
          <w:highlight w:val="none"/>
        </w:rPr>
        <w:t>。</w:t>
      </w:r>
    </w:p>
    <w:p w14:paraId="14AABDE8">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7.有权要求乙方服务人员遵守甲方作息时间和劳动纪律，并在重大节假日和特殊时期提供必要的应急保障服务。</w:t>
      </w:r>
    </w:p>
    <w:p w14:paraId="00AC0198">
      <w:pPr>
        <w:spacing w:line="360" w:lineRule="auto"/>
        <w:ind w:firstLine="482" w:firstLineChars="200"/>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第五条乙方的权利和义务</w:t>
      </w:r>
    </w:p>
    <w:p w14:paraId="39173EA9">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1.按照本合同约定收取服务费用。</w:t>
      </w:r>
    </w:p>
    <w:p w14:paraId="7B059DEF">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2.依法依规按时支付服务人员的劳动报酬</w:t>
      </w:r>
      <w:r>
        <w:rPr>
          <w:rFonts w:hint="eastAsia" w:ascii="方正仿宋_GBK" w:hAnsi="方正仿宋_GBK" w:eastAsia="方正仿宋_GBK" w:cs="方正仿宋_GBK"/>
          <w:sz w:val="24"/>
          <w:szCs w:val="24"/>
          <w:highlight w:val="none"/>
          <w:lang w:eastAsia="zh-CN"/>
        </w:rPr>
        <w:t>和</w:t>
      </w:r>
      <w:r>
        <w:rPr>
          <w:rFonts w:hint="eastAsia" w:ascii="方正仿宋_GBK" w:hAnsi="方正仿宋_GBK" w:eastAsia="方正仿宋_GBK" w:cs="方正仿宋_GBK"/>
          <w:sz w:val="24"/>
          <w:szCs w:val="24"/>
          <w:highlight w:val="none"/>
        </w:rPr>
        <w:t>福利待遇。</w:t>
      </w:r>
    </w:p>
    <w:p w14:paraId="2976FAAF">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3.在履行本合同书规定的义务期间，按甲方的指示及合同约定提供服务。</w:t>
      </w:r>
    </w:p>
    <w:p w14:paraId="51C3C261">
      <w:pPr>
        <w:spacing w:line="360" w:lineRule="auto"/>
        <w:ind w:firstLine="480" w:firstLineChars="200"/>
        <w:rPr>
          <w:rFonts w:hint="eastAsia" w:ascii="方正仿宋_GBK" w:hAnsi="方正仿宋_GBK" w:eastAsia="方正仿宋_GBK" w:cs="方正仿宋_GBK"/>
          <w:sz w:val="24"/>
          <w:szCs w:val="24"/>
          <w:lang w:val="en-US" w:eastAsia="zh-CN"/>
        </w:rPr>
      </w:pPr>
      <w:r>
        <w:rPr>
          <w:rFonts w:hint="eastAsia" w:ascii="方正仿宋_GBK" w:hAnsi="方正仿宋_GBK" w:eastAsia="方正仿宋_GBK" w:cs="方正仿宋_GBK"/>
          <w:sz w:val="24"/>
          <w:szCs w:val="24"/>
          <w:highlight w:val="none"/>
        </w:rPr>
        <w:t>4.为本合同的服务内容组建专项专业服务小组，项目经理要求从业经验（医疗信息系统）不少于5年，具备高级信息系统项目管理师</w:t>
      </w:r>
      <w:r>
        <w:rPr>
          <w:rFonts w:hint="eastAsia" w:ascii="方正仿宋_GBK" w:hAnsi="方正仿宋_GBK" w:eastAsia="方正仿宋_GBK" w:cs="方正仿宋_GBK"/>
          <w:sz w:val="24"/>
          <w:szCs w:val="24"/>
          <w:highlight w:val="none"/>
          <w:lang w:eastAsia="zh-CN"/>
        </w:rPr>
        <w:t>，实施工程师要求从业经验（医疗信息系统）不少于3年，负责程序需求修改。</w:t>
      </w:r>
      <w:r>
        <w:rPr>
          <w:rFonts w:hint="eastAsia" w:ascii="方正仿宋_GBK" w:hAnsi="方正仿宋_GBK" w:eastAsia="方正仿宋_GBK" w:cs="方正仿宋_GBK"/>
          <w:sz w:val="24"/>
          <w:szCs w:val="24"/>
          <w:highlight w:val="none"/>
        </w:rPr>
        <w:t>服务人员包括:，乙方应确保本合同服务小组的服务人员和负责人必须固定，</w:t>
      </w:r>
      <w:r>
        <w:rPr>
          <w:rFonts w:hint="eastAsia" w:ascii="方正仿宋_GBK" w:hAnsi="方正仿宋_GBK" w:eastAsia="方正仿宋_GBK" w:cs="方正仿宋_GBK"/>
          <w:sz w:val="24"/>
          <w:szCs w:val="24"/>
          <w:lang w:val="en-US" w:eastAsia="zh-CN"/>
        </w:rPr>
        <w:t>如须调整服务团队成员，须书面向甲方提出申请，说明申请理由，经甲方书面同意方可调整团队人员，调入人员的资历和从业经验不低于调出人员，否则视为违约行为，甲方有权终止服务合同。</w:t>
      </w:r>
    </w:p>
    <w:p w14:paraId="0A0B7525">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5.通过信息化建设提供真实有效的服务过程数据和评价信息等，接受甲方的考核管理，并不断提升自身服务质量。</w:t>
      </w:r>
    </w:p>
    <w:p w14:paraId="6D31357D">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6.不得将本合同委托的事项转委托第三方。</w:t>
      </w:r>
    </w:p>
    <w:p w14:paraId="2EEA6CDD">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lang w:eastAsia="zh-Hans"/>
        </w:rPr>
        <w:t>7</w:t>
      </w:r>
      <w:r>
        <w:rPr>
          <w:rFonts w:hint="eastAsia" w:ascii="方正仿宋_GBK" w:hAnsi="方正仿宋_GBK" w:eastAsia="方正仿宋_GBK" w:cs="方正仿宋_GBK"/>
          <w:sz w:val="24"/>
          <w:szCs w:val="24"/>
          <w:highlight w:val="none"/>
        </w:rPr>
        <w:t>.</w:t>
      </w:r>
      <w:r>
        <w:rPr>
          <w:rFonts w:hint="eastAsia" w:ascii="方正仿宋_GBK" w:hAnsi="方正仿宋_GBK" w:eastAsia="方正仿宋_GBK" w:cs="方正仿宋_GBK"/>
          <w:sz w:val="24"/>
          <w:szCs w:val="24"/>
          <w:highlight w:val="none"/>
          <w:lang w:eastAsia="zh-Hans"/>
        </w:rPr>
        <w:t>乙方在提供技术服务过程中产生的所有知识产权均归甲方所有</w:t>
      </w:r>
      <w:r>
        <w:rPr>
          <w:rFonts w:hint="eastAsia" w:ascii="方正仿宋_GBK" w:hAnsi="方正仿宋_GBK" w:eastAsia="方正仿宋_GBK" w:cs="方正仿宋_GBK"/>
          <w:sz w:val="24"/>
          <w:szCs w:val="24"/>
          <w:highlight w:val="none"/>
        </w:rPr>
        <w:t>；</w:t>
      </w:r>
    </w:p>
    <w:p w14:paraId="60855DBE">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lang w:eastAsia="zh-Hans"/>
        </w:rPr>
        <w:t>8</w:t>
      </w:r>
      <w:r>
        <w:rPr>
          <w:rFonts w:hint="eastAsia" w:ascii="方正仿宋_GBK" w:hAnsi="方正仿宋_GBK" w:eastAsia="方正仿宋_GBK" w:cs="方正仿宋_GBK"/>
          <w:sz w:val="24"/>
          <w:szCs w:val="24"/>
          <w:highlight w:val="none"/>
        </w:rPr>
        <w:t>.</w:t>
      </w:r>
      <w:r>
        <w:rPr>
          <w:rFonts w:hint="eastAsia" w:ascii="方正仿宋_GBK" w:hAnsi="方正仿宋_GBK" w:eastAsia="方正仿宋_GBK" w:cs="方正仿宋_GBK"/>
          <w:sz w:val="24"/>
          <w:szCs w:val="24"/>
          <w:highlight w:val="none"/>
          <w:lang w:eastAsia="zh-Hans"/>
        </w:rPr>
        <w:t>乙方保证独立完成本合同约定的服务项目，不侵犯第三方的知识产权等其他任何权利。如有第三方因乙方原因指控甲方技术侵权的，由乙方负责解决并赔偿因此给甲方造成的所有损失</w:t>
      </w:r>
      <w:r>
        <w:rPr>
          <w:rFonts w:hint="eastAsia" w:ascii="方正仿宋_GBK" w:hAnsi="方正仿宋_GBK" w:eastAsia="方正仿宋_GBK" w:cs="方正仿宋_GBK"/>
          <w:sz w:val="24"/>
          <w:szCs w:val="24"/>
          <w:highlight w:val="none"/>
        </w:rPr>
        <w:t>。</w:t>
      </w:r>
    </w:p>
    <w:p w14:paraId="18E7ECDA">
      <w:pPr>
        <w:spacing w:line="360" w:lineRule="auto"/>
        <w:ind w:firstLine="480" w:firstLineChars="200"/>
        <w:rPr>
          <w:rFonts w:hint="eastAsia" w:ascii="方正仿宋_GBK" w:hAnsi="方正仿宋_GBK" w:eastAsia="方正仿宋_GBK" w:cs="方正仿宋_GBK"/>
          <w:sz w:val="24"/>
          <w:szCs w:val="24"/>
          <w:highlight w:val="none"/>
          <w:lang w:eastAsia="zh-Hans"/>
        </w:rPr>
      </w:pPr>
      <w:r>
        <w:rPr>
          <w:rFonts w:hint="eastAsia" w:ascii="方正仿宋_GBK" w:hAnsi="方正仿宋_GBK" w:eastAsia="方正仿宋_GBK" w:cs="方正仿宋_GBK"/>
          <w:sz w:val="24"/>
          <w:szCs w:val="24"/>
          <w:highlight w:val="none"/>
          <w:lang w:eastAsia="zh-Hans"/>
        </w:rPr>
        <w:t>9</w:t>
      </w:r>
      <w:r>
        <w:rPr>
          <w:rFonts w:hint="eastAsia" w:ascii="方正仿宋_GBK" w:hAnsi="方正仿宋_GBK" w:eastAsia="方正仿宋_GBK" w:cs="方正仿宋_GBK"/>
          <w:sz w:val="24"/>
          <w:szCs w:val="24"/>
          <w:highlight w:val="none"/>
        </w:rPr>
        <w:t>.</w:t>
      </w:r>
      <w:r>
        <w:rPr>
          <w:rFonts w:hint="eastAsia" w:ascii="方正仿宋_GBK" w:hAnsi="方正仿宋_GBK" w:eastAsia="方正仿宋_GBK" w:cs="方正仿宋_GBK"/>
          <w:sz w:val="24"/>
          <w:szCs w:val="24"/>
          <w:highlight w:val="none"/>
          <w:lang w:eastAsia="zh-Hans"/>
        </w:rPr>
        <w:t>乙方应按照甲方要求提供技术服务，并确保系统安全运行和改造后系统的性能和功能达到甲方要求。</w:t>
      </w:r>
    </w:p>
    <w:p w14:paraId="24435893">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lang w:eastAsia="zh-Hans"/>
        </w:rPr>
        <w:t>10</w:t>
      </w:r>
      <w:r>
        <w:rPr>
          <w:rFonts w:hint="eastAsia" w:ascii="方正仿宋_GBK" w:hAnsi="方正仿宋_GBK" w:eastAsia="方正仿宋_GBK" w:cs="方正仿宋_GBK"/>
          <w:sz w:val="24"/>
          <w:szCs w:val="24"/>
          <w:highlight w:val="none"/>
        </w:rPr>
        <w:t>.</w:t>
      </w:r>
      <w:r>
        <w:rPr>
          <w:rFonts w:hint="eastAsia" w:ascii="方正仿宋_GBK" w:hAnsi="方正仿宋_GBK" w:eastAsia="方正仿宋_GBK" w:cs="方正仿宋_GBK"/>
          <w:sz w:val="24"/>
          <w:szCs w:val="24"/>
          <w:highlight w:val="none"/>
          <w:lang w:eastAsia="zh-Hans"/>
        </w:rPr>
        <w:t>乙方负责培训甲方人员，并提供操作说明文档</w:t>
      </w:r>
      <w:r>
        <w:rPr>
          <w:rFonts w:hint="eastAsia" w:ascii="方正仿宋_GBK" w:hAnsi="方正仿宋_GBK" w:eastAsia="方正仿宋_GBK" w:cs="方正仿宋_GBK"/>
          <w:sz w:val="24"/>
          <w:szCs w:val="24"/>
          <w:highlight w:val="none"/>
        </w:rPr>
        <w:t>。</w:t>
      </w:r>
    </w:p>
    <w:p w14:paraId="425A22A5">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lang w:val="en-US" w:eastAsia="zh-CN"/>
        </w:rPr>
        <w:t>11.</w:t>
      </w:r>
      <w:r>
        <w:rPr>
          <w:rFonts w:hint="eastAsia" w:ascii="方正仿宋_GBK" w:hAnsi="方正仿宋_GBK" w:eastAsia="方正仿宋_GBK" w:cs="方正仿宋_GBK"/>
          <w:sz w:val="24"/>
          <w:szCs w:val="24"/>
          <w:highlight w:val="none"/>
        </w:rPr>
        <w:t>乙方为甲方服务期间，因乙方原因造成甲方或第三人人身损害或财产损失的，相关责任与损失均由乙方承担。</w:t>
      </w:r>
    </w:p>
    <w:p w14:paraId="4ACE33AF">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lang w:val="en-US" w:eastAsia="zh-CN"/>
        </w:rPr>
        <w:t>12.</w:t>
      </w:r>
      <w:r>
        <w:rPr>
          <w:rFonts w:hint="eastAsia" w:ascii="方正仿宋_GBK" w:hAnsi="方正仿宋_GBK" w:eastAsia="方正仿宋_GBK" w:cs="方正仿宋_GBK"/>
          <w:sz w:val="24"/>
          <w:szCs w:val="24"/>
          <w:highlight w:val="none"/>
        </w:rPr>
        <w:t>乙方负责为其指派工作人员购买相关保险，维保工作中，非甲方原因导致乙方工作人员人身伤害（含工伤）的，甲方不承担任何赔偿责任。</w:t>
      </w:r>
    </w:p>
    <w:p w14:paraId="6F3936B2">
      <w:pPr>
        <w:spacing w:line="360" w:lineRule="auto"/>
        <w:ind w:firstLine="482" w:firstLineChars="200"/>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第六条验收</w:t>
      </w:r>
    </w:p>
    <w:p w14:paraId="58DCE555">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本项目的验收应符合广东省政务服务数据管理局相关验收管理办法的要求，同时应遵循下列标准：</w:t>
      </w:r>
    </w:p>
    <w:p w14:paraId="7A077FE4">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（1）实现合同和根据采购文件所编写的投标文件中列举的全部内容。</w:t>
      </w:r>
    </w:p>
    <w:p w14:paraId="1013BCD1">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（2）项目验收包括按照合同和根据采购文件所编写的投标文件中相关的过程文档及项目相关验收管理办法所要求的全部文档。</w:t>
      </w:r>
    </w:p>
    <w:p w14:paraId="6F968F4C">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3）提供每周系统巡检报告、每月设备巡检报告（共12份/年）、运维服务月报（共12份/年）、年度服务总结报告（共1份）、重大故障报告（如需）。。乙方在提交齐全的服务过程文件及自检报告后的15个工作日内，甲方应组织验收，服务验收合格的，甲方向乙方签发《验收报告》；不合格的，甲方及时向乙方提出异议</w:t>
      </w:r>
      <w:r>
        <w:rPr>
          <w:rFonts w:hint="eastAsia" w:ascii="方正仿宋_GBK" w:hAnsi="方正仿宋_GBK" w:eastAsia="方正仿宋_GBK" w:cs="方正仿宋_GBK"/>
          <w:sz w:val="24"/>
          <w:szCs w:val="24"/>
          <w:highlight w:val="none"/>
          <w:lang w:eastAsia="zh-Hans"/>
        </w:rPr>
        <w:t>，乙方应在甲方提出异议后</w:t>
      </w:r>
      <w:r>
        <w:rPr>
          <w:rFonts w:hint="eastAsia" w:ascii="方正仿宋_GBK" w:hAnsi="方正仿宋_GBK" w:eastAsia="方正仿宋_GBK" w:cs="方正仿宋_GBK"/>
          <w:sz w:val="24"/>
          <w:szCs w:val="24"/>
          <w:highlight w:val="none"/>
        </w:rPr>
        <w:t>24小时内</w:t>
      </w:r>
      <w:r>
        <w:rPr>
          <w:rFonts w:hint="eastAsia" w:ascii="方正仿宋_GBK" w:hAnsi="方正仿宋_GBK" w:eastAsia="方正仿宋_GBK" w:cs="方正仿宋_GBK"/>
          <w:sz w:val="24"/>
          <w:szCs w:val="24"/>
          <w:highlight w:val="none"/>
          <w:lang w:eastAsia="zh-Hans"/>
        </w:rPr>
        <w:t>整改完毕</w:t>
      </w:r>
      <w:r>
        <w:rPr>
          <w:rFonts w:hint="eastAsia" w:ascii="方正仿宋_GBK" w:hAnsi="方正仿宋_GBK" w:eastAsia="方正仿宋_GBK" w:cs="方正仿宋_GBK"/>
          <w:sz w:val="24"/>
          <w:szCs w:val="24"/>
          <w:highlight w:val="none"/>
        </w:rPr>
        <w:t>；验收标准按照本合同约定的内容确定。</w:t>
      </w:r>
    </w:p>
    <w:p w14:paraId="10CF8E03">
      <w:pPr>
        <w:spacing w:line="360" w:lineRule="auto"/>
        <w:ind w:firstLine="482" w:firstLineChars="200"/>
        <w:rPr>
          <w:rFonts w:hint="eastAsia" w:ascii="方正仿宋_GBK" w:hAnsi="方正仿宋_GBK" w:eastAsia="方正仿宋_GBK" w:cs="方正仿宋_GBK"/>
          <w:b/>
          <w:sz w:val="24"/>
          <w:szCs w:val="24"/>
          <w:highlight w:val="none"/>
        </w:rPr>
      </w:pPr>
      <w:r>
        <w:rPr>
          <w:rFonts w:hint="eastAsia" w:ascii="方正仿宋_GBK" w:hAnsi="方正仿宋_GBK" w:eastAsia="方正仿宋_GBK" w:cs="方正仿宋_GBK"/>
          <w:b/>
          <w:sz w:val="24"/>
          <w:szCs w:val="24"/>
          <w:highlight w:val="none"/>
        </w:rPr>
        <w:t>第七条保密义务</w:t>
      </w:r>
    </w:p>
    <w:p w14:paraId="09177C4A">
      <w:pPr>
        <w:spacing w:line="360" w:lineRule="auto"/>
        <w:ind w:firstLine="480" w:firstLineChars="200"/>
        <w:rPr>
          <w:rFonts w:hint="eastAsia" w:ascii="方正仿宋_GBK" w:hAnsi="方正仿宋_GBK" w:eastAsia="方正仿宋_GBK" w:cs="方正仿宋_GBK"/>
          <w:bCs/>
          <w:sz w:val="24"/>
          <w:szCs w:val="24"/>
          <w:highlight w:val="none"/>
        </w:rPr>
      </w:pPr>
      <w:r>
        <w:rPr>
          <w:rFonts w:hint="eastAsia" w:ascii="方正仿宋_GBK" w:hAnsi="方正仿宋_GBK" w:eastAsia="方正仿宋_GBK" w:cs="方正仿宋_GBK"/>
          <w:bCs/>
          <w:sz w:val="24"/>
          <w:szCs w:val="24"/>
          <w:highlight w:val="none"/>
        </w:rPr>
        <w:t>1.本协议签订及履行过程中，乙方知悉的甲方人员信息</w:t>
      </w:r>
      <w:r>
        <w:rPr>
          <w:rFonts w:hint="eastAsia" w:ascii="方正仿宋_GBK" w:hAnsi="方正仿宋_GBK" w:eastAsia="方正仿宋_GBK" w:cs="方正仿宋_GBK"/>
          <w:bCs/>
          <w:sz w:val="24"/>
          <w:szCs w:val="24"/>
          <w:highlight w:val="none"/>
          <w:lang w:eastAsia="zh-CN"/>
        </w:rPr>
        <w:t>、</w:t>
      </w:r>
      <w:r>
        <w:rPr>
          <w:rFonts w:hint="eastAsia" w:ascii="方正仿宋_GBK" w:hAnsi="方正仿宋_GBK" w:eastAsia="方正仿宋_GBK" w:cs="方正仿宋_GBK"/>
          <w:bCs/>
          <w:sz w:val="24"/>
          <w:szCs w:val="24"/>
          <w:highlight w:val="none"/>
        </w:rPr>
        <w:t>采购需求</w:t>
      </w:r>
      <w:r>
        <w:rPr>
          <w:rFonts w:hint="eastAsia" w:ascii="方正仿宋_GBK" w:hAnsi="方正仿宋_GBK" w:eastAsia="方正仿宋_GBK" w:cs="方正仿宋_GBK"/>
          <w:bCs/>
          <w:sz w:val="24"/>
          <w:szCs w:val="24"/>
          <w:highlight w:val="none"/>
          <w:lang w:eastAsia="zh-CN"/>
        </w:rPr>
        <w:t>、</w:t>
      </w:r>
      <w:r>
        <w:rPr>
          <w:rFonts w:hint="eastAsia" w:ascii="方正仿宋_GBK" w:hAnsi="方正仿宋_GBK" w:eastAsia="方正仿宋_GBK" w:cs="方正仿宋_GBK"/>
          <w:bCs/>
          <w:sz w:val="24"/>
          <w:szCs w:val="24"/>
          <w:highlight w:val="none"/>
        </w:rPr>
        <w:t>相关项目情况</w:t>
      </w:r>
      <w:r>
        <w:rPr>
          <w:rFonts w:hint="eastAsia" w:ascii="方正仿宋_GBK" w:hAnsi="方正仿宋_GBK" w:eastAsia="方正仿宋_GBK" w:cs="方正仿宋_GBK"/>
          <w:bCs/>
          <w:sz w:val="24"/>
          <w:szCs w:val="24"/>
          <w:highlight w:val="none"/>
          <w:lang w:eastAsia="zh-CN"/>
        </w:rPr>
        <w:t>、</w:t>
      </w:r>
      <w:r>
        <w:rPr>
          <w:rFonts w:hint="eastAsia" w:ascii="方正仿宋_GBK" w:hAnsi="方正仿宋_GBK" w:eastAsia="方正仿宋_GBK" w:cs="方正仿宋_GBK"/>
          <w:bCs/>
          <w:sz w:val="24"/>
          <w:szCs w:val="24"/>
          <w:highlight w:val="none"/>
        </w:rPr>
        <w:t>工作安排及本合同相关内容均属于保密信息，乙方应承担保密义务。未经甲方事先书面确认，乙方不得将保密信息以任何形式披露给第三方，或用于本合同以外的目的。</w:t>
      </w:r>
    </w:p>
    <w:p w14:paraId="383FBCA3">
      <w:pPr>
        <w:spacing w:line="360" w:lineRule="auto"/>
        <w:ind w:firstLine="480" w:firstLineChars="200"/>
        <w:rPr>
          <w:rFonts w:hint="eastAsia" w:ascii="方正仿宋_GBK" w:hAnsi="方正仿宋_GBK" w:eastAsia="方正仿宋_GBK" w:cs="方正仿宋_GBK"/>
          <w:bCs/>
          <w:sz w:val="24"/>
          <w:szCs w:val="24"/>
          <w:highlight w:val="none"/>
        </w:rPr>
      </w:pPr>
      <w:r>
        <w:rPr>
          <w:rFonts w:hint="eastAsia" w:ascii="方正仿宋_GBK" w:hAnsi="方正仿宋_GBK" w:eastAsia="方正仿宋_GBK" w:cs="方正仿宋_GBK"/>
          <w:bCs/>
          <w:sz w:val="24"/>
          <w:szCs w:val="24"/>
          <w:highlight w:val="none"/>
        </w:rPr>
        <w:t>2.未经甲方事先书面确认，乙方不得利用本合同内容进行任何形式的宣传。</w:t>
      </w:r>
      <w:r>
        <w:rPr>
          <w:rFonts w:hint="eastAsia" w:ascii="方正仿宋_GBK" w:hAnsi="方正仿宋_GBK" w:eastAsia="方正仿宋_GBK" w:cs="方正仿宋_GBK"/>
          <w:bCs/>
          <w:sz w:val="24"/>
          <w:szCs w:val="24"/>
          <w:highlight w:val="none"/>
          <w:lang w:eastAsia="zh-Hans"/>
        </w:rPr>
        <w:t>乙方违反本合同约定的保密义务的，应向甲方支付合同总额</w:t>
      </w:r>
      <w:r>
        <w:rPr>
          <w:rFonts w:hint="eastAsia" w:ascii="方正仿宋_GBK" w:hAnsi="方正仿宋_GBK" w:eastAsia="方正仿宋_GBK" w:cs="方正仿宋_GBK"/>
          <w:bCs/>
          <w:sz w:val="24"/>
          <w:szCs w:val="24"/>
          <w:highlight w:val="none"/>
          <w:lang w:val="en-US" w:eastAsia="zh-CN"/>
        </w:rPr>
        <w:t>20</w:t>
      </w:r>
      <w:r>
        <w:rPr>
          <w:rFonts w:hint="eastAsia" w:ascii="方正仿宋_GBK" w:hAnsi="方正仿宋_GBK" w:eastAsia="方正仿宋_GBK" w:cs="方正仿宋_GBK"/>
          <w:bCs/>
          <w:sz w:val="24"/>
          <w:szCs w:val="24"/>
          <w:highlight w:val="none"/>
          <w:lang w:eastAsia="zh-Hans"/>
        </w:rPr>
        <w:t>%的违约金，违约金不足以弥补甲方损失的，乙方还应赔偿甲方因此造成的损失。</w:t>
      </w:r>
    </w:p>
    <w:p w14:paraId="482EA1C3">
      <w:pPr>
        <w:spacing w:line="360" w:lineRule="auto"/>
        <w:ind w:firstLine="482" w:firstLineChars="200"/>
        <w:rPr>
          <w:rFonts w:hint="eastAsia" w:ascii="方正仿宋_GBK" w:hAnsi="方正仿宋_GBK" w:eastAsia="方正仿宋_GBK" w:cs="方正仿宋_GBK"/>
          <w:b/>
          <w:sz w:val="24"/>
          <w:szCs w:val="24"/>
          <w:highlight w:val="none"/>
        </w:rPr>
      </w:pPr>
      <w:r>
        <w:rPr>
          <w:rFonts w:hint="eastAsia" w:ascii="方正仿宋_GBK" w:hAnsi="方正仿宋_GBK" w:eastAsia="方正仿宋_GBK" w:cs="方正仿宋_GBK"/>
          <w:b/>
          <w:sz w:val="24"/>
          <w:szCs w:val="24"/>
          <w:highlight w:val="none"/>
        </w:rPr>
        <w:t>第九条违约责任</w:t>
      </w:r>
    </w:p>
    <w:p w14:paraId="11DDC412">
      <w:pPr>
        <w:spacing w:line="360" w:lineRule="auto"/>
        <w:ind w:left="105" w:leftChars="50"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1.乙方所提供的服务不符合合同规定的，甲方有权要求乙方在合理时间内对服务进行改进，规定时间内改进结果无法得到甲方满意时，乙方向甲方支付合同总金额百分之十的违约金；后甲方再次要求乙方整改，但仍未达到甲方满意或要求时，甲方可解除本合同，并要求乙方返还已付款项。</w:t>
      </w:r>
    </w:p>
    <w:p w14:paraId="4B067F97">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2.因乙方提供的服务存在问题，造成甲方损失的，乙方应承担赔偿责任；</w:t>
      </w:r>
    </w:p>
    <w:p w14:paraId="689D61F6">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3.甲方</w:t>
      </w:r>
      <w:r>
        <w:rPr>
          <w:rFonts w:hint="eastAsia" w:ascii="方正仿宋_GBK" w:hAnsi="方正仿宋_GBK" w:eastAsia="方正仿宋_GBK" w:cs="方正仿宋_GBK"/>
          <w:sz w:val="24"/>
          <w:szCs w:val="24"/>
          <w:highlight w:val="none"/>
          <w:lang w:eastAsia="zh-CN"/>
        </w:rPr>
        <w:t>无正当理由</w:t>
      </w:r>
      <w:r>
        <w:rPr>
          <w:rFonts w:hint="eastAsia" w:ascii="方正仿宋_GBK" w:hAnsi="方正仿宋_GBK" w:eastAsia="方正仿宋_GBK" w:cs="方正仿宋_GBK"/>
          <w:sz w:val="24"/>
          <w:szCs w:val="24"/>
          <w:highlight w:val="none"/>
        </w:rPr>
        <w:t>逾期付款的，应以应付未付总额为基数按照贷款市场报价利率（LPR）向乙方支付逾期付款的违约金;</w:t>
      </w:r>
    </w:p>
    <w:p w14:paraId="2D280A69">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4.本合同履行过程中，如任何一方违约，守约方为解决争议而支付的律师费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rPr>
        <w:t>差旅费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rPr>
        <w:t>公证费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rPr>
        <w:t>鉴定费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rPr>
        <w:t>保全费</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rPr>
        <w:t>担保费和仲裁费等一切费用均由违约方承担；</w:t>
      </w:r>
    </w:p>
    <w:p w14:paraId="07BAA684">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5.如因乙方违约或造成甲方损失，甲方有权将乙方需承担违约金.罚款.赔偿款等直接在本合同中甲方应付而未付的款项中予以抵扣直至全部抵扣完毕，甲方无需因此而承担任何违约责任。</w:t>
      </w:r>
    </w:p>
    <w:p w14:paraId="6023A716">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6.</w:t>
      </w:r>
      <w:r>
        <w:rPr>
          <w:rFonts w:hint="eastAsia" w:ascii="方正仿宋_GBK" w:hAnsi="方正仿宋_GBK" w:eastAsia="方正仿宋_GBK" w:cs="方正仿宋_GBK"/>
          <w:sz w:val="24"/>
          <w:szCs w:val="24"/>
          <w:highlight w:val="none"/>
          <w:lang w:eastAsia="zh-Hans"/>
        </w:rPr>
        <w:t>因乙方提供的系统</w:t>
      </w:r>
      <w:r>
        <w:rPr>
          <w:rFonts w:hint="eastAsia" w:ascii="方正仿宋_GBK" w:hAnsi="方正仿宋_GBK" w:eastAsia="方正仿宋_GBK" w:cs="方正仿宋_GBK"/>
          <w:sz w:val="24"/>
          <w:szCs w:val="24"/>
          <w:highlight w:val="none"/>
        </w:rPr>
        <w:t>改造</w:t>
      </w:r>
      <w:r>
        <w:rPr>
          <w:rFonts w:hint="eastAsia" w:ascii="方正仿宋_GBK" w:hAnsi="方正仿宋_GBK" w:eastAsia="方正仿宋_GBK" w:cs="方正仿宋_GBK"/>
          <w:sz w:val="24"/>
          <w:szCs w:val="24"/>
          <w:highlight w:val="none"/>
          <w:lang w:eastAsia="zh-Hans"/>
        </w:rPr>
        <w:t>项目存在质量问题造成甲方系统无法正常运转超过</w:t>
      </w:r>
      <w:r>
        <w:rPr>
          <w:rFonts w:hint="eastAsia" w:ascii="方正仿宋_GBK" w:hAnsi="方正仿宋_GBK" w:eastAsia="方正仿宋_GBK" w:cs="方正仿宋_GBK"/>
          <w:sz w:val="24"/>
          <w:szCs w:val="24"/>
          <w:highlight w:val="none"/>
        </w:rPr>
        <w:t>24小时</w:t>
      </w:r>
      <w:r>
        <w:rPr>
          <w:rFonts w:hint="eastAsia" w:ascii="方正仿宋_GBK" w:hAnsi="方正仿宋_GBK" w:eastAsia="方正仿宋_GBK" w:cs="方正仿宋_GBK"/>
          <w:sz w:val="24"/>
          <w:szCs w:val="24"/>
          <w:highlight w:val="none"/>
          <w:lang w:eastAsia="zh-Hans"/>
        </w:rPr>
        <w:t>或者数据丢失等重大事故，甲方有权解除合同，并要求乙方返还已付款项。同时，乙方应无偿对系统</w:t>
      </w:r>
      <w:r>
        <w:rPr>
          <w:rFonts w:hint="eastAsia" w:ascii="方正仿宋_GBK" w:hAnsi="方正仿宋_GBK" w:eastAsia="方正仿宋_GBK" w:cs="方正仿宋_GBK"/>
          <w:sz w:val="24"/>
          <w:szCs w:val="24"/>
          <w:highlight w:val="none"/>
        </w:rPr>
        <w:t>改造</w:t>
      </w:r>
      <w:r>
        <w:rPr>
          <w:rFonts w:hint="eastAsia" w:ascii="方正仿宋_GBK" w:hAnsi="方正仿宋_GBK" w:eastAsia="方正仿宋_GBK" w:cs="方正仿宋_GBK"/>
          <w:sz w:val="24"/>
          <w:szCs w:val="24"/>
          <w:highlight w:val="none"/>
          <w:lang w:eastAsia="zh-Hans"/>
        </w:rPr>
        <w:t>项目进行修改，并赔偿由此给甲方造成的损失。</w:t>
      </w:r>
    </w:p>
    <w:p w14:paraId="0A98730C">
      <w:pPr>
        <w:spacing w:line="360" w:lineRule="auto"/>
        <w:ind w:firstLine="482" w:firstLineChars="200"/>
        <w:rPr>
          <w:rFonts w:hint="eastAsia" w:ascii="方正仿宋_GBK" w:hAnsi="方正仿宋_GBK" w:eastAsia="方正仿宋_GBK" w:cs="方正仿宋_GBK"/>
          <w:b/>
          <w:sz w:val="24"/>
          <w:szCs w:val="24"/>
          <w:highlight w:val="none"/>
        </w:rPr>
      </w:pPr>
      <w:r>
        <w:rPr>
          <w:rFonts w:hint="eastAsia" w:ascii="方正仿宋_GBK" w:hAnsi="方正仿宋_GBK" w:eastAsia="方正仿宋_GBK" w:cs="方正仿宋_GBK"/>
          <w:b/>
          <w:sz w:val="24"/>
          <w:szCs w:val="24"/>
          <w:highlight w:val="none"/>
        </w:rPr>
        <w:t>第十条不可抗力</w:t>
      </w:r>
    </w:p>
    <w:p w14:paraId="56553D06">
      <w:pPr>
        <w:spacing w:line="360" w:lineRule="auto"/>
        <w:ind w:firstLine="480" w:firstLineChars="200"/>
        <w:rPr>
          <w:rFonts w:hint="eastAsia" w:ascii="方正仿宋_GBK" w:hAnsi="方正仿宋_GBK" w:eastAsia="方正仿宋_GBK" w:cs="方正仿宋_GBK"/>
          <w:b/>
          <w:sz w:val="24"/>
          <w:szCs w:val="24"/>
          <w:highlight w:val="none"/>
        </w:rPr>
      </w:pPr>
      <w:r>
        <w:rPr>
          <w:rFonts w:hint="eastAsia" w:ascii="方正仿宋_GBK" w:hAnsi="方正仿宋_GBK" w:eastAsia="方正仿宋_GBK" w:cs="方正仿宋_GBK"/>
          <w:sz w:val="24"/>
          <w:szCs w:val="24"/>
          <w:highlight w:val="none"/>
        </w:rPr>
        <w:t>甲乙双方任何一方由于不可抗力原因不能履行合同时，应及时向对方通报不能履行或不能完全履行的理由，以减轻可能给对方造成的损失，在取得有关机构证明后，允许延期履行</w:t>
      </w:r>
      <w:r>
        <w:rPr>
          <w:rFonts w:hint="eastAsia" w:ascii="方正仿宋_GBK" w:hAnsi="方正仿宋_GBK" w:eastAsia="方正仿宋_GBK" w:cs="方正仿宋_GBK"/>
          <w:sz w:val="24"/>
          <w:szCs w:val="24"/>
          <w:highlight w:val="none"/>
          <w:lang w:eastAsia="zh-CN"/>
        </w:rPr>
        <w:t>、</w:t>
      </w:r>
      <w:r>
        <w:rPr>
          <w:rFonts w:hint="eastAsia" w:ascii="方正仿宋_GBK" w:hAnsi="方正仿宋_GBK" w:eastAsia="方正仿宋_GBK" w:cs="方正仿宋_GBK"/>
          <w:sz w:val="24"/>
          <w:szCs w:val="24"/>
          <w:highlight w:val="none"/>
        </w:rPr>
        <w:t>部分履行或不履行合同，并根据情况可部分或全部免予承担违约责任。</w:t>
      </w:r>
    </w:p>
    <w:p w14:paraId="56602DE7">
      <w:pPr>
        <w:spacing w:line="360" w:lineRule="auto"/>
        <w:ind w:firstLine="482" w:firstLineChars="200"/>
        <w:rPr>
          <w:rFonts w:hint="eastAsia" w:ascii="方正仿宋_GBK" w:hAnsi="方正仿宋_GBK" w:eastAsia="方正仿宋_GBK" w:cs="方正仿宋_GBK"/>
          <w:b/>
          <w:sz w:val="24"/>
          <w:szCs w:val="24"/>
          <w:highlight w:val="none"/>
        </w:rPr>
      </w:pPr>
      <w:r>
        <w:rPr>
          <w:rFonts w:hint="eastAsia" w:ascii="方正仿宋_GBK" w:hAnsi="方正仿宋_GBK" w:eastAsia="方正仿宋_GBK" w:cs="方正仿宋_GBK"/>
          <w:b/>
          <w:sz w:val="24"/>
          <w:szCs w:val="24"/>
          <w:highlight w:val="none"/>
        </w:rPr>
        <w:t>第十一条争议的解决</w:t>
      </w:r>
    </w:p>
    <w:p w14:paraId="1D743BCD">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执行本合同发生纠纷，当事人双方应当及时协商解决，协商不成时，任何一方均可向甲方所在地人民法院提起诉讼。</w:t>
      </w:r>
    </w:p>
    <w:p w14:paraId="66E31663">
      <w:pPr>
        <w:widowControl/>
        <w:shd w:val="clear" w:color="auto" w:fill="FFFFFF"/>
        <w:spacing w:line="360" w:lineRule="auto"/>
        <w:ind w:firstLine="482" w:firstLineChars="200"/>
        <w:rPr>
          <w:rFonts w:hint="eastAsia" w:ascii="方正仿宋_GBK" w:hAnsi="方正仿宋_GBK" w:eastAsia="方正仿宋_GBK" w:cs="方正仿宋_GBK"/>
          <w:b/>
          <w:kern w:val="0"/>
          <w:sz w:val="24"/>
          <w:szCs w:val="24"/>
          <w:highlight w:val="none"/>
        </w:rPr>
      </w:pPr>
      <w:r>
        <w:rPr>
          <w:rFonts w:hint="eastAsia" w:ascii="方正仿宋_GBK" w:hAnsi="方正仿宋_GBK" w:eastAsia="方正仿宋_GBK" w:cs="方正仿宋_GBK"/>
          <w:b/>
          <w:kern w:val="0"/>
          <w:sz w:val="24"/>
          <w:szCs w:val="24"/>
          <w:highlight w:val="none"/>
        </w:rPr>
        <w:t>第十二条通知</w:t>
      </w:r>
    </w:p>
    <w:p w14:paraId="2FAADD66">
      <w:pPr>
        <w:widowControl/>
        <w:shd w:val="clear" w:color="auto" w:fill="FFFFFF"/>
        <w:spacing w:line="360" w:lineRule="auto"/>
        <w:ind w:firstLine="480" w:firstLineChars="200"/>
        <w:rPr>
          <w:rFonts w:hint="eastAsia" w:ascii="方正仿宋_GBK" w:hAnsi="方正仿宋_GBK" w:eastAsia="方正仿宋_GBK" w:cs="方正仿宋_GBK"/>
          <w:kern w:val="0"/>
          <w:sz w:val="24"/>
          <w:szCs w:val="24"/>
          <w:highlight w:val="none"/>
          <w:shd w:val="clear" w:color="auto" w:fill="FFFFFF"/>
        </w:rPr>
      </w:pPr>
      <w:r>
        <w:rPr>
          <w:rFonts w:hint="eastAsia" w:ascii="方正仿宋_GBK" w:hAnsi="方正仿宋_GBK" w:eastAsia="方正仿宋_GBK" w:cs="方正仿宋_GBK"/>
          <w:kern w:val="0"/>
          <w:sz w:val="24"/>
          <w:szCs w:val="24"/>
          <w:highlight w:val="none"/>
          <w:shd w:val="clear" w:color="auto" w:fill="FFFFFF"/>
        </w:rPr>
        <w:t>本合同载明的各方地址为本合同各方当事人确定的送达地址，亦是司法机关或仲裁机构送达法律文书的地址，无人签收或拒收的，则（法律）文书退回之日视为送达之日；提供错误地址或未及时告知变更后地址，导致（法律）文书未能送达或退回的，则（法律）文书退回之日视为送达之日。</w:t>
      </w:r>
    </w:p>
    <w:p w14:paraId="679B458F">
      <w:pPr>
        <w:spacing w:line="360" w:lineRule="auto"/>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sz w:val="24"/>
          <w:szCs w:val="24"/>
          <w:highlight w:val="none"/>
        </w:rPr>
        <w:t>第十三条</w:t>
      </w:r>
      <w:r>
        <w:rPr>
          <w:rFonts w:hint="eastAsia" w:ascii="方正仿宋_GBK" w:hAnsi="方正仿宋_GBK" w:eastAsia="方正仿宋_GBK" w:cs="方正仿宋_GBK"/>
          <w:b/>
          <w:bCs/>
          <w:sz w:val="24"/>
          <w:szCs w:val="24"/>
          <w:highlight w:val="none"/>
        </w:rPr>
        <w:t>其他约定事项</w:t>
      </w:r>
    </w:p>
    <w:p w14:paraId="3EB80594">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1.本合同自甲乙双方签字及盖章之日起生效。本合同壹式</w:t>
      </w:r>
      <w:r>
        <w:rPr>
          <w:rFonts w:hint="eastAsia" w:ascii="方正仿宋_GBK" w:hAnsi="方正仿宋_GBK" w:eastAsia="方正仿宋_GBK" w:cs="方正仿宋_GBK"/>
          <w:sz w:val="24"/>
          <w:szCs w:val="24"/>
          <w:highlight w:val="none"/>
          <w:u w:val="single"/>
        </w:rPr>
        <w:t>肆</w:t>
      </w:r>
      <w:r>
        <w:rPr>
          <w:rFonts w:hint="eastAsia" w:ascii="方正仿宋_GBK" w:hAnsi="方正仿宋_GBK" w:eastAsia="方正仿宋_GBK" w:cs="方正仿宋_GBK"/>
          <w:sz w:val="24"/>
          <w:szCs w:val="24"/>
          <w:highlight w:val="none"/>
        </w:rPr>
        <w:t>份，甲方执</w:t>
      </w:r>
      <w:r>
        <w:rPr>
          <w:rFonts w:hint="eastAsia" w:ascii="方正仿宋_GBK" w:hAnsi="方正仿宋_GBK" w:eastAsia="方正仿宋_GBK" w:cs="方正仿宋_GBK"/>
          <w:sz w:val="24"/>
          <w:szCs w:val="24"/>
          <w:highlight w:val="none"/>
          <w:u w:val="single"/>
        </w:rPr>
        <w:t>叁</w:t>
      </w:r>
      <w:r>
        <w:rPr>
          <w:rFonts w:hint="eastAsia" w:ascii="方正仿宋_GBK" w:hAnsi="方正仿宋_GBK" w:eastAsia="方正仿宋_GBK" w:cs="方正仿宋_GBK"/>
          <w:sz w:val="24"/>
          <w:szCs w:val="24"/>
          <w:highlight w:val="none"/>
        </w:rPr>
        <w:t>份，乙方执</w:t>
      </w:r>
      <w:r>
        <w:rPr>
          <w:rFonts w:hint="eastAsia" w:ascii="方正仿宋_GBK" w:hAnsi="方正仿宋_GBK" w:eastAsia="方正仿宋_GBK" w:cs="方正仿宋_GBK"/>
          <w:sz w:val="24"/>
          <w:szCs w:val="24"/>
          <w:highlight w:val="none"/>
          <w:u w:val="single"/>
        </w:rPr>
        <w:t>壹</w:t>
      </w:r>
      <w:r>
        <w:rPr>
          <w:rFonts w:hint="eastAsia" w:ascii="方正仿宋_GBK" w:hAnsi="方正仿宋_GBK" w:eastAsia="方正仿宋_GBK" w:cs="方正仿宋_GBK"/>
          <w:sz w:val="24"/>
          <w:szCs w:val="24"/>
          <w:highlight w:val="none"/>
        </w:rPr>
        <w:t>份，具有同等法律效力。</w:t>
      </w:r>
    </w:p>
    <w:tbl>
      <w:tblPr>
        <w:tblStyle w:val="34"/>
        <w:tblpPr w:leftFromText="180" w:rightFromText="180" w:vertAnchor="text" w:horzAnchor="page" w:tblpX="1671" w:tblpY="1896"/>
        <w:tblOverlap w:val="never"/>
        <w:tblW w:w="9205" w:type="dxa"/>
        <w:tblInd w:w="0" w:type="dxa"/>
        <w:tblLayout w:type="fixed"/>
        <w:tblCellMar>
          <w:top w:w="0" w:type="dxa"/>
          <w:left w:w="108" w:type="dxa"/>
          <w:bottom w:w="0" w:type="dxa"/>
          <w:right w:w="108" w:type="dxa"/>
        </w:tblCellMar>
      </w:tblPr>
      <w:tblGrid>
        <w:gridCol w:w="4522"/>
        <w:gridCol w:w="4683"/>
      </w:tblGrid>
      <w:tr w14:paraId="41BC6EF9">
        <w:tblPrEx>
          <w:tblCellMar>
            <w:top w:w="0" w:type="dxa"/>
            <w:left w:w="108" w:type="dxa"/>
            <w:bottom w:w="0" w:type="dxa"/>
            <w:right w:w="108" w:type="dxa"/>
          </w:tblCellMar>
        </w:tblPrEx>
        <w:trPr>
          <w:trHeight w:val="624" w:hRule="atLeast"/>
        </w:trPr>
        <w:tc>
          <w:tcPr>
            <w:tcW w:w="4522" w:type="dxa"/>
            <w:noWrap w:val="0"/>
            <w:vAlign w:val="top"/>
          </w:tcPr>
          <w:p w14:paraId="522EDA22">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甲方（签章）：惠州市第六人民医院</w:t>
            </w:r>
          </w:p>
        </w:tc>
        <w:tc>
          <w:tcPr>
            <w:tcW w:w="4683" w:type="dxa"/>
            <w:noWrap w:val="0"/>
            <w:vAlign w:val="top"/>
          </w:tcPr>
          <w:p w14:paraId="2C5B962B">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乙方（签章）：</w:t>
            </w:r>
          </w:p>
        </w:tc>
      </w:tr>
      <w:tr w14:paraId="24862F51">
        <w:tblPrEx>
          <w:tblCellMar>
            <w:top w:w="0" w:type="dxa"/>
            <w:left w:w="108" w:type="dxa"/>
            <w:bottom w:w="0" w:type="dxa"/>
            <w:right w:w="108" w:type="dxa"/>
          </w:tblCellMar>
        </w:tblPrEx>
        <w:trPr>
          <w:trHeight w:val="624" w:hRule="atLeast"/>
        </w:trPr>
        <w:tc>
          <w:tcPr>
            <w:tcW w:w="4522" w:type="dxa"/>
            <w:noWrap w:val="0"/>
            <w:vAlign w:val="top"/>
          </w:tcPr>
          <w:p w14:paraId="7ACB3BA1">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法定代表人：</w:t>
            </w:r>
          </w:p>
        </w:tc>
        <w:tc>
          <w:tcPr>
            <w:tcW w:w="4683" w:type="dxa"/>
            <w:noWrap w:val="0"/>
            <w:vAlign w:val="top"/>
          </w:tcPr>
          <w:p w14:paraId="1EBEE626">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法定代表人/委托代理人：</w:t>
            </w:r>
          </w:p>
        </w:tc>
      </w:tr>
      <w:tr w14:paraId="55E9D714">
        <w:tblPrEx>
          <w:tblCellMar>
            <w:top w:w="0" w:type="dxa"/>
            <w:left w:w="108" w:type="dxa"/>
            <w:bottom w:w="0" w:type="dxa"/>
            <w:right w:w="108" w:type="dxa"/>
          </w:tblCellMar>
        </w:tblPrEx>
        <w:trPr>
          <w:trHeight w:val="436" w:hRule="atLeast"/>
        </w:trPr>
        <w:tc>
          <w:tcPr>
            <w:tcW w:w="4522" w:type="dxa"/>
            <w:noWrap w:val="0"/>
            <w:vAlign w:val="top"/>
          </w:tcPr>
          <w:p w14:paraId="6EC436D0">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经办人：</w:t>
            </w:r>
          </w:p>
          <w:p w14:paraId="1CB8D1B7">
            <w:pPr>
              <w:spacing w:line="360" w:lineRule="auto"/>
              <w:rPr>
                <w:rFonts w:hint="eastAsia" w:ascii="方正仿宋_GBK" w:hAnsi="方正仿宋_GBK" w:eastAsia="方正仿宋_GBK" w:cs="方正仿宋_GBK"/>
                <w:sz w:val="24"/>
                <w:szCs w:val="24"/>
                <w:highlight w:val="none"/>
              </w:rPr>
            </w:pPr>
          </w:p>
        </w:tc>
        <w:tc>
          <w:tcPr>
            <w:tcW w:w="4683" w:type="dxa"/>
            <w:noWrap w:val="0"/>
            <w:vAlign w:val="top"/>
          </w:tcPr>
          <w:p w14:paraId="36A6E951">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经办人：</w:t>
            </w:r>
          </w:p>
        </w:tc>
      </w:tr>
      <w:tr w14:paraId="68C6DDD0">
        <w:tblPrEx>
          <w:tblCellMar>
            <w:top w:w="0" w:type="dxa"/>
            <w:left w:w="108" w:type="dxa"/>
            <w:bottom w:w="0" w:type="dxa"/>
            <w:right w:w="108" w:type="dxa"/>
          </w:tblCellMar>
        </w:tblPrEx>
        <w:trPr>
          <w:trHeight w:val="554" w:hRule="exact"/>
        </w:trPr>
        <w:tc>
          <w:tcPr>
            <w:tcW w:w="4522" w:type="dxa"/>
            <w:noWrap w:val="0"/>
            <w:vAlign w:val="top"/>
          </w:tcPr>
          <w:p w14:paraId="3F98ED7B">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签约日期：年月日</w:t>
            </w:r>
          </w:p>
        </w:tc>
        <w:tc>
          <w:tcPr>
            <w:tcW w:w="4683" w:type="dxa"/>
            <w:noWrap w:val="0"/>
            <w:vAlign w:val="top"/>
          </w:tcPr>
          <w:p w14:paraId="2CC3D0CC">
            <w:pPr>
              <w:spacing w:line="360" w:lineRule="auto"/>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签约日期：年月日</w:t>
            </w:r>
          </w:p>
        </w:tc>
      </w:tr>
    </w:tbl>
    <w:p w14:paraId="39E9F6AE">
      <w:pPr>
        <w:spacing w:line="360" w:lineRule="auto"/>
        <w:ind w:firstLine="480" w:firstLineChars="200"/>
        <w:rPr>
          <w:rFonts w:hint="eastAsia" w:ascii="方正仿宋_GBK" w:hAnsi="方正仿宋_GBK" w:eastAsia="方正仿宋_GBK" w:cs="方正仿宋_GBK"/>
          <w:sz w:val="24"/>
          <w:szCs w:val="24"/>
          <w:highlight w:val="none"/>
        </w:rPr>
      </w:pPr>
      <w:r>
        <w:rPr>
          <w:rFonts w:hint="eastAsia" w:ascii="方正仿宋_GBK" w:hAnsi="方正仿宋_GBK" w:eastAsia="方正仿宋_GBK" w:cs="方正仿宋_GBK"/>
          <w:sz w:val="24"/>
          <w:szCs w:val="24"/>
          <w:highlight w:val="none"/>
        </w:rPr>
        <w:t>2.本合同中的附件均为本合同不可分割的部分，与本合同具有相同的法律效力。</w:t>
      </w:r>
    </w:p>
    <w:p w14:paraId="2E021F1E">
      <w:pPr>
        <w:shd w:val="clear" w:fill="FFFFFF"/>
        <w:jc w:val="both"/>
        <w:rPr>
          <w:rFonts w:hint="eastAsia" w:ascii="方正仿宋_GBK" w:hAnsi="方正仿宋_GBK" w:eastAsia="方正仿宋_GBK" w:cs="方正仿宋_GBK"/>
          <w:color w:val="FF0000"/>
          <w:sz w:val="24"/>
          <w:szCs w:val="24"/>
          <w:highlight w:val="none"/>
        </w:rPr>
      </w:pPr>
    </w:p>
    <w:p w14:paraId="4F5D6E4B">
      <w:pPr>
        <w:shd w:val="clear" w:fill="FFFFFF"/>
        <w:jc w:val="both"/>
        <w:rPr>
          <w:rFonts w:hint="eastAsia" w:ascii="方正仿宋_GBK" w:hAnsi="方正仿宋_GBK" w:eastAsia="方正仿宋_GBK" w:cs="方正仿宋_GBK"/>
          <w:color w:val="FF0000"/>
          <w:sz w:val="24"/>
          <w:szCs w:val="24"/>
          <w:highlight w:val="none"/>
        </w:rPr>
      </w:pPr>
    </w:p>
    <w:p w14:paraId="5A8859A1">
      <w:pPr>
        <w:pStyle w:val="42"/>
        <w:rPr>
          <w:rFonts w:hint="eastAsia" w:ascii="方正仿宋_GBK" w:hAnsi="方正仿宋_GBK" w:eastAsia="方正仿宋_GBK" w:cs="方正仿宋_GBK"/>
          <w:sz w:val="24"/>
          <w:szCs w:val="24"/>
          <w:highlight w:val="none"/>
        </w:rPr>
      </w:pPr>
    </w:p>
    <w:p w14:paraId="56B7D76C">
      <w:pPr>
        <w:pStyle w:val="42"/>
        <w:rPr>
          <w:rFonts w:hint="eastAsia" w:ascii="方正仿宋_GBK" w:hAnsi="方正仿宋_GBK" w:eastAsia="方正仿宋_GBK" w:cs="方正仿宋_GBK"/>
          <w:sz w:val="24"/>
          <w:szCs w:val="24"/>
          <w:highlight w:val="none"/>
        </w:rPr>
      </w:pPr>
    </w:p>
    <w:p w14:paraId="6D75EDD3">
      <w:pPr>
        <w:pStyle w:val="42"/>
        <w:rPr>
          <w:rFonts w:hint="eastAsia" w:ascii="方正仿宋_GBK" w:hAnsi="方正仿宋_GBK" w:eastAsia="方正仿宋_GBK" w:cs="方正仿宋_GBK"/>
          <w:sz w:val="24"/>
          <w:szCs w:val="24"/>
          <w:highlight w:val="none"/>
        </w:rPr>
      </w:pPr>
    </w:p>
    <w:p w14:paraId="1F12CDEB">
      <w:pPr>
        <w:pStyle w:val="42"/>
        <w:rPr>
          <w:rFonts w:hint="eastAsia" w:ascii="方正仿宋_GBK" w:hAnsi="方正仿宋_GBK" w:eastAsia="方正仿宋_GBK" w:cs="方正仿宋_GBK"/>
          <w:sz w:val="24"/>
          <w:szCs w:val="24"/>
          <w:highlight w:val="none"/>
        </w:rPr>
      </w:pPr>
    </w:p>
    <w:p w14:paraId="613E6F17">
      <w:pPr>
        <w:widowControl/>
        <w:spacing w:line="360" w:lineRule="auto"/>
        <w:jc w:val="left"/>
        <w:rPr>
          <w:rFonts w:hint="eastAsia" w:ascii="方正仿宋_GBK" w:hAnsi="方正仿宋_GBK" w:eastAsia="方正仿宋_GBK" w:cs="方正仿宋_GBK"/>
          <w:b/>
          <w:bCs/>
          <w:sz w:val="24"/>
          <w:szCs w:val="24"/>
          <w:highlight w:val="none"/>
        </w:rPr>
      </w:pPr>
      <w:r>
        <w:rPr>
          <w:rFonts w:hint="eastAsia" w:ascii="方正仿宋_GBK" w:hAnsi="方正仿宋_GBK" w:eastAsia="方正仿宋_GBK" w:cs="方正仿宋_GBK"/>
          <w:b/>
          <w:bCs/>
          <w:sz w:val="24"/>
          <w:szCs w:val="24"/>
          <w:highlight w:val="none"/>
        </w:rPr>
        <w:t>附件：</w:t>
      </w:r>
    </w:p>
    <w:p w14:paraId="43CA7804">
      <w:pPr>
        <w:widowControl/>
        <w:numPr>
          <w:ilvl w:val="0"/>
          <w:numId w:val="4"/>
        </w:numPr>
        <w:spacing w:line="360" w:lineRule="auto"/>
        <w:jc w:val="left"/>
        <w:rPr>
          <w:rFonts w:hint="eastAsia" w:ascii="方正仿宋_GBK" w:hAnsi="方正仿宋_GBK" w:eastAsia="方正仿宋_GBK" w:cs="方正仿宋_GBK"/>
          <w:b/>
          <w:bCs/>
          <w:sz w:val="24"/>
          <w:szCs w:val="24"/>
          <w:highlight w:val="none"/>
          <w:lang w:val="en-US" w:eastAsia="zh-CN"/>
        </w:rPr>
      </w:pPr>
      <w:r>
        <w:rPr>
          <w:rFonts w:hint="eastAsia" w:ascii="方正仿宋_GBK" w:hAnsi="方正仿宋_GBK" w:eastAsia="方正仿宋_GBK" w:cs="方正仿宋_GBK"/>
          <w:b/>
          <w:bCs/>
          <w:sz w:val="24"/>
          <w:szCs w:val="24"/>
          <w:highlight w:val="none"/>
          <w:lang w:val="en-US" w:eastAsia="zh-CN"/>
        </w:rPr>
        <w:t>服务内容：</w:t>
      </w:r>
    </w:p>
    <w:p w14:paraId="32963559">
      <w:pPr>
        <w:pStyle w:val="42"/>
        <w:ind w:left="0" w:leftChars="0" w:firstLine="0" w:firstLineChars="0"/>
        <w:rPr>
          <w:rFonts w:hint="default"/>
          <w:lang w:val="en-US" w:eastAsia="zh-CN"/>
        </w:rPr>
      </w:pPr>
      <w:r>
        <w:rPr>
          <w:rFonts w:hint="eastAsia" w:ascii="方正仿宋_GBK" w:hAnsi="方正仿宋_GBK" w:eastAsia="方正仿宋_GBK" w:cs="方正仿宋_GBK"/>
          <w:b/>
          <w:bCs/>
          <w:sz w:val="24"/>
          <w:szCs w:val="24"/>
          <w:highlight w:val="none"/>
          <w:lang w:val="en-US" w:eastAsia="zh-CN"/>
        </w:rPr>
        <w:t>2.</w:t>
      </w:r>
      <w:r>
        <w:rPr>
          <w:rFonts w:hint="eastAsia" w:ascii="方正仿宋_GBK" w:hAnsi="方正仿宋_GBK" w:eastAsia="方正仿宋_GBK" w:cs="方正仿宋_GBK"/>
          <w:b/>
          <w:bCs/>
          <w:sz w:val="24"/>
          <w:szCs w:val="24"/>
          <w:highlight w:val="none"/>
        </w:rPr>
        <w:t>《运维考核评价表》</w:t>
      </w:r>
    </w:p>
    <w:p w14:paraId="60EA72AC">
      <w:pPr>
        <w:ind w:firstLine="480" w:firstLineChars="200"/>
        <w:jc w:val="left"/>
        <w:rPr>
          <w:rFonts w:hint="eastAsia" w:ascii="方正仿宋_GBK" w:hAnsi="方正仿宋_GBK" w:eastAsia="方正仿宋_GBK" w:cs="方正仿宋_GBK"/>
          <w:color w:val="auto"/>
          <w:sz w:val="24"/>
          <w:szCs w:val="24"/>
          <w:lang w:val="en-US" w:eastAsia="zh-CN"/>
        </w:rPr>
      </w:pPr>
    </w:p>
    <w:sectPr>
      <w:headerReference r:id="rId3" w:type="default"/>
      <w:footerReference r:id="rId4" w:type="default"/>
      <w:footerReference r:id="rId5" w:type="even"/>
      <w:pgSz w:w="11906" w:h="16838"/>
      <w:pgMar w:top="1418" w:right="1418" w:bottom="1418"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embedRegular r:id="rId1" w:fontKey="{8C4D465E-0A11-4B3C-A4CA-B3C428F32EE4}"/>
  </w:font>
  <w:font w:name="仿宋">
    <w:panose1 w:val="02010609060101010101"/>
    <w:charset w:val="86"/>
    <w:family w:val="modern"/>
    <w:pitch w:val="default"/>
    <w:sig w:usb0="800002BF" w:usb1="38CF7CFA" w:usb2="00000016" w:usb3="00000000" w:csb0="00040001" w:csb1="00000000"/>
    <w:embedRegular r:id="rId2" w:fontKey="{E5056858-9510-4C62-B6DB-712AF4A3DE4F}"/>
  </w:font>
  <w:font w:name="仿宋_GB2312">
    <w:altName w:val="仿宋"/>
    <w:panose1 w:val="02010609030101010101"/>
    <w:charset w:val="86"/>
    <w:family w:val="modern"/>
    <w:pitch w:val="default"/>
    <w:sig w:usb0="00000000" w:usb1="00000000" w:usb2="00000010" w:usb3="00000000" w:csb0="00040000" w:csb1="00000000"/>
    <w:embedRegular r:id="rId3" w:fontKey="{2717501C-6753-40A4-8508-8865B30A29A3}"/>
  </w:font>
  <w:font w:name="楷体_GB2312">
    <w:altName w:val="楷体"/>
    <w:panose1 w:val="02010609030101010101"/>
    <w:charset w:val="86"/>
    <w:family w:val="modern"/>
    <w:pitch w:val="default"/>
    <w:sig w:usb0="00000000" w:usb1="00000000" w:usb2="00000000" w:usb3="00000000" w:csb0="00040000" w:csb1="00000000"/>
    <w:embedRegular r:id="rId4" w:fontKey="{F888F017-358D-449D-9AB0-6B5269F3118B}"/>
  </w:font>
  <w:font w:name="华文楷体">
    <w:panose1 w:val="02010600040101010101"/>
    <w:charset w:val="86"/>
    <w:family w:val="auto"/>
    <w:pitch w:val="default"/>
    <w:sig w:usb0="00000287" w:usb1="080F0000" w:usb2="00000000" w:usb3="00000000" w:csb0="0004009F" w:csb1="DFD7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方正仿宋_GBK">
    <w:panose1 w:val="02000000000000000000"/>
    <w:charset w:val="86"/>
    <w:family w:val="auto"/>
    <w:pitch w:val="default"/>
    <w:sig w:usb0="A00002BF" w:usb1="38CF7CFA" w:usb2="00082016" w:usb3="00000000" w:csb0="00040001" w:csb1="00000000"/>
    <w:embedRegular r:id="rId5" w:fontKey="{19E0213E-4681-458C-B1C0-DFC66A182846}"/>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6830DC">
    <w:pPr>
      <w:pStyle w:val="2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34453DF">
                          <w:pPr>
                            <w:pStyle w:val="23"/>
                            <w:rPr>
                              <w:rFonts w:eastAsia="等线"/>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134453DF">
                    <w:pPr>
                      <w:pStyle w:val="23"/>
                      <w:rPr>
                        <w:rFonts w:eastAsia="等线"/>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4FC413">
    <w:pPr>
      <w:pStyle w:val="23"/>
      <w:framePr w:wrap="around" w:vAnchor="text" w:hAnchor="margin" w:xAlign="center" w:y="1"/>
      <w:rPr>
        <w:rStyle w:val="37"/>
      </w:rPr>
    </w:pPr>
    <w:r>
      <w:fldChar w:fldCharType="begin"/>
    </w:r>
    <w:r>
      <w:rPr>
        <w:rStyle w:val="37"/>
      </w:rPr>
      <w:instrText xml:space="preserve">PAGE  </w:instrText>
    </w:r>
    <w:r>
      <w:fldChar w:fldCharType="separate"/>
    </w:r>
    <w:r>
      <w:rPr>
        <w:rStyle w:val="37"/>
      </w:rPr>
      <w:t>7</w:t>
    </w:r>
    <w:r>
      <w:fldChar w:fldCharType="end"/>
    </w:r>
  </w:p>
  <w:p w14:paraId="36D2F2BC">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D99D3">
    <w:pPr>
      <w:pStyle w:val="24"/>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9AE33EA"/>
    <w:multiLevelType w:val="singleLevel"/>
    <w:tmpl w:val="B9AE33EA"/>
    <w:lvl w:ilvl="0" w:tentative="0">
      <w:start w:val="1"/>
      <w:numFmt w:val="decimal"/>
      <w:lvlText w:val="%1."/>
      <w:lvlJc w:val="left"/>
      <w:pPr>
        <w:tabs>
          <w:tab w:val="left" w:pos="312"/>
        </w:tabs>
      </w:pPr>
    </w:lvl>
  </w:abstractNum>
  <w:abstractNum w:abstractNumId="1">
    <w:nsid w:val="03045D1E"/>
    <w:multiLevelType w:val="multilevel"/>
    <w:tmpl w:val="03045D1E"/>
    <w:lvl w:ilvl="0" w:tentative="0">
      <w:start w:val="1"/>
      <w:numFmt w:val="chineseCountingThousand"/>
      <w:suff w:val="space"/>
      <w:lvlText w:val="第%1章"/>
      <w:lvlJc w:val="left"/>
      <w:pPr>
        <w:ind w:left="425" w:hanging="425"/>
      </w:pPr>
      <w:rPr>
        <w:rFonts w:hint="eastAsia"/>
      </w:rPr>
    </w:lvl>
    <w:lvl w:ilvl="1" w:tentative="0">
      <w:start w:val="1"/>
      <w:numFmt w:val="decimal"/>
      <w:pStyle w:val="3"/>
      <w:isLgl/>
      <w:suff w:val="space"/>
      <w:lvlText w:val="%1.%2"/>
      <w:lvlJc w:val="left"/>
      <w:pPr>
        <w:ind w:left="2978" w:hanging="567"/>
      </w:pPr>
      <w:rPr>
        <w:rFonts w:hint="default" w:ascii="Times New Roman" w:hAnsi="Times New Roman" w:cs="Times New Roman"/>
      </w:rPr>
    </w:lvl>
    <w:lvl w:ilvl="2" w:tentative="0">
      <w:start w:val="1"/>
      <w:numFmt w:val="decimal"/>
      <w:pStyle w:val="4"/>
      <w:isLgl/>
      <w:suff w:val="space"/>
      <w:lvlText w:val="%1.%2.%3"/>
      <w:lvlJc w:val="left"/>
      <w:pPr>
        <w:ind w:left="7230" w:hanging="567"/>
      </w:pPr>
      <w:rPr>
        <w:rFonts w:hint="default" w:ascii="Times New Roman" w:hAnsi="Times New Roman" w:cs="Times New Roman"/>
      </w:rPr>
    </w:lvl>
    <w:lvl w:ilvl="3" w:tentative="0">
      <w:start w:val="1"/>
      <w:numFmt w:val="decimal"/>
      <w:pStyle w:val="5"/>
      <w:isLgl/>
      <w:suff w:val="space"/>
      <w:lvlText w:val="%1.%2.%3.%4"/>
      <w:lvlJc w:val="left"/>
      <w:pPr>
        <w:ind w:left="1984" w:hanging="708"/>
      </w:pPr>
      <w:rPr>
        <w:rFonts w:hint="eastAsia"/>
      </w:rPr>
    </w:lvl>
    <w:lvl w:ilvl="4" w:tentative="0">
      <w:start w:val="1"/>
      <w:numFmt w:val="decimal"/>
      <w:pStyle w:val="6"/>
      <w:isLgl/>
      <w:suff w:val="space"/>
      <w:lvlText w:val="%1.%2.%3.%4.%5"/>
      <w:lvlJc w:val="left"/>
      <w:pPr>
        <w:ind w:left="2551" w:hanging="850"/>
      </w:pPr>
      <w:rPr>
        <w:rFonts w:hint="eastAsia"/>
      </w:rPr>
    </w:lvl>
    <w:lvl w:ilvl="5" w:tentative="0">
      <w:start w:val="1"/>
      <w:numFmt w:val="decimal"/>
      <w:pStyle w:val="7"/>
      <w:isLgl/>
      <w:suff w:val="space"/>
      <w:lvlText w:val="%1.%2.%3.%4.%5.%6"/>
      <w:lvlJc w:val="left"/>
      <w:pPr>
        <w:ind w:left="3260" w:hanging="1134"/>
      </w:pPr>
      <w:rPr>
        <w:rFonts w:hint="eastAsia"/>
      </w:rPr>
    </w:lvl>
    <w:lvl w:ilvl="6" w:tentative="0">
      <w:start w:val="1"/>
      <w:numFmt w:val="decimal"/>
      <w:isLgl/>
      <w:suff w:val="space"/>
      <w:lvlText w:val="%1.%2.%3.%4.%5.%6.%7"/>
      <w:lvlJc w:val="left"/>
      <w:pPr>
        <w:ind w:left="3827" w:hanging="1276"/>
      </w:pPr>
      <w:rPr>
        <w:rFonts w:hint="eastAsia"/>
      </w:rPr>
    </w:lvl>
    <w:lvl w:ilvl="7" w:tentative="0">
      <w:start w:val="1"/>
      <w:numFmt w:val="decimal"/>
      <w:isLgl/>
      <w:suff w:val="space"/>
      <w:lvlText w:val="%1.%2.%3.%4.%5.%6.%7.%8"/>
      <w:lvlJc w:val="left"/>
      <w:pPr>
        <w:ind w:left="4394" w:hanging="1418"/>
      </w:pPr>
      <w:rPr>
        <w:rFonts w:hint="eastAsia"/>
      </w:rPr>
    </w:lvl>
    <w:lvl w:ilvl="8" w:tentative="0">
      <w:start w:val="1"/>
      <w:numFmt w:val="decimal"/>
      <w:isLgl/>
      <w:suff w:val="space"/>
      <w:lvlText w:val="%1.%2.%3.%4.%5.%6.%7.%8.%9"/>
      <w:lvlJc w:val="left"/>
      <w:pPr>
        <w:ind w:left="5102" w:hanging="1700"/>
      </w:pPr>
      <w:rPr>
        <w:rFonts w:hint="eastAsia"/>
      </w:rPr>
    </w:lvl>
  </w:abstractNum>
  <w:abstractNum w:abstractNumId="2">
    <w:nsid w:val="04544B4D"/>
    <w:multiLevelType w:val="multilevel"/>
    <w:tmpl w:val="04544B4D"/>
    <w:lvl w:ilvl="0" w:tentative="0">
      <w:start w:val="1"/>
      <w:numFmt w:val="decimal"/>
      <w:pStyle w:val="69"/>
      <w:lvlText w:val="%1."/>
      <w:lvlJc w:val="left"/>
      <w:pPr>
        <w:ind w:left="425" w:hanging="425"/>
      </w:pPr>
      <w:rPr>
        <w:rFonts w:hint="default" w:ascii="Times New Roman" w:hAnsi="Times New Roman" w:cs="Times New Roman"/>
      </w:rPr>
    </w:lvl>
    <w:lvl w:ilvl="1" w:tentative="0">
      <w:start w:val="1"/>
      <w:numFmt w:val="decimal"/>
      <w:pStyle w:val="65"/>
      <w:lvlText w:val="%1.%2."/>
      <w:lvlJc w:val="left"/>
      <w:pPr>
        <w:ind w:left="567" w:hanging="567"/>
      </w:pPr>
      <w:rPr>
        <w:rFonts w:hint="default" w:ascii="Times New Roman" w:hAnsi="Times New Roman" w:cs="Times New Roman"/>
      </w:rPr>
    </w:lvl>
    <w:lvl w:ilvl="2" w:tentative="0">
      <w:start w:val="1"/>
      <w:numFmt w:val="decimal"/>
      <w:pStyle w:val="67"/>
      <w:lvlText w:val="%1.%2.%3."/>
      <w:lvlJc w:val="left"/>
      <w:pPr>
        <w:ind w:left="1135" w:hanging="709"/>
      </w:pPr>
      <w:rPr>
        <w:rFonts w:hint="default" w:ascii="Times New Roman" w:hAnsi="Times New Roman" w:cs="Times New Roman"/>
        <w:b w:val="0"/>
        <w:bCs/>
      </w:rPr>
    </w:lvl>
    <w:lvl w:ilvl="3" w:tentative="0">
      <w:start w:val="1"/>
      <w:numFmt w:val="decimal"/>
      <w:lvlText w:val="%1.%2.%3.%4."/>
      <w:lvlJc w:val="left"/>
      <w:pPr>
        <w:ind w:left="851" w:hanging="851"/>
      </w:pPr>
      <w:rPr>
        <w:rFonts w:hint="eastAsia"/>
      </w:rPr>
    </w:lvl>
    <w:lvl w:ilvl="4" w:tentative="0">
      <w:start w:val="1"/>
      <w:numFmt w:val="decimal"/>
      <w:lvlText w:val="%1.%2.%3.%4.%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3">
    <w:nsid w:val="7F4EC253"/>
    <w:multiLevelType w:val="singleLevel"/>
    <w:tmpl w:val="7F4EC253"/>
    <w:lvl w:ilvl="0" w:tentative="0">
      <w:start w:val="1"/>
      <w:numFmt w:val="decimal"/>
      <w:pStyle w:val="98"/>
      <w:lvlText w:val="%1."/>
      <w:lvlJc w:val="left"/>
      <w:pPr>
        <w:tabs>
          <w:tab w:val="left" w:pos="312"/>
        </w:tabs>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105"/>
  <w:hyphenationZone w:val="360"/>
  <w:drawingGridVerticalSpacing w:val="156"/>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E5ODM1NGExYzk4NzIzYzlhYjVlOTZjOTk4MGRkMGEifQ=="/>
  </w:docVars>
  <w:rsids>
    <w:rsidRoot w:val="00172A27"/>
    <w:rsid w:val="00000178"/>
    <w:rsid w:val="00000D9A"/>
    <w:rsid w:val="00001697"/>
    <w:rsid w:val="000042DF"/>
    <w:rsid w:val="000047DC"/>
    <w:rsid w:val="00007FDA"/>
    <w:rsid w:val="00013D0A"/>
    <w:rsid w:val="0001434C"/>
    <w:rsid w:val="00016E6C"/>
    <w:rsid w:val="00024BE5"/>
    <w:rsid w:val="000251F5"/>
    <w:rsid w:val="00026387"/>
    <w:rsid w:val="00026B64"/>
    <w:rsid w:val="00027FEE"/>
    <w:rsid w:val="000309C4"/>
    <w:rsid w:val="00030C6D"/>
    <w:rsid w:val="00030DC2"/>
    <w:rsid w:val="00033344"/>
    <w:rsid w:val="00034509"/>
    <w:rsid w:val="000365E4"/>
    <w:rsid w:val="00040398"/>
    <w:rsid w:val="0004084F"/>
    <w:rsid w:val="00045B7C"/>
    <w:rsid w:val="00046D1D"/>
    <w:rsid w:val="00047D79"/>
    <w:rsid w:val="00052840"/>
    <w:rsid w:val="00053F70"/>
    <w:rsid w:val="000541B4"/>
    <w:rsid w:val="00054E13"/>
    <w:rsid w:val="00055DD1"/>
    <w:rsid w:val="00057B6F"/>
    <w:rsid w:val="0006038B"/>
    <w:rsid w:val="00062405"/>
    <w:rsid w:val="00063558"/>
    <w:rsid w:val="0006526C"/>
    <w:rsid w:val="000668FA"/>
    <w:rsid w:val="0006700F"/>
    <w:rsid w:val="00067C7D"/>
    <w:rsid w:val="00070152"/>
    <w:rsid w:val="000719EA"/>
    <w:rsid w:val="00074F48"/>
    <w:rsid w:val="00077F58"/>
    <w:rsid w:val="000814A2"/>
    <w:rsid w:val="000816B9"/>
    <w:rsid w:val="00081E3F"/>
    <w:rsid w:val="00086EBA"/>
    <w:rsid w:val="00087F08"/>
    <w:rsid w:val="0009116F"/>
    <w:rsid w:val="00091369"/>
    <w:rsid w:val="000940A7"/>
    <w:rsid w:val="000942E6"/>
    <w:rsid w:val="000960C1"/>
    <w:rsid w:val="000A31FA"/>
    <w:rsid w:val="000A410D"/>
    <w:rsid w:val="000A471A"/>
    <w:rsid w:val="000A64BE"/>
    <w:rsid w:val="000B014E"/>
    <w:rsid w:val="000B32E3"/>
    <w:rsid w:val="000C0527"/>
    <w:rsid w:val="000C2CD6"/>
    <w:rsid w:val="000C2D46"/>
    <w:rsid w:val="000C4869"/>
    <w:rsid w:val="000C6E7B"/>
    <w:rsid w:val="000C7043"/>
    <w:rsid w:val="000C7FD1"/>
    <w:rsid w:val="000D3419"/>
    <w:rsid w:val="000D43AA"/>
    <w:rsid w:val="000D55C5"/>
    <w:rsid w:val="000D6D07"/>
    <w:rsid w:val="000D6F35"/>
    <w:rsid w:val="000D7AB7"/>
    <w:rsid w:val="000E08E3"/>
    <w:rsid w:val="000E1CD8"/>
    <w:rsid w:val="000E247E"/>
    <w:rsid w:val="000E28F5"/>
    <w:rsid w:val="000E3811"/>
    <w:rsid w:val="000E5303"/>
    <w:rsid w:val="000E53E4"/>
    <w:rsid w:val="000E6C68"/>
    <w:rsid w:val="000E7731"/>
    <w:rsid w:val="000F0995"/>
    <w:rsid w:val="000F1D19"/>
    <w:rsid w:val="000F22A4"/>
    <w:rsid w:val="000F23BD"/>
    <w:rsid w:val="000F49AD"/>
    <w:rsid w:val="000F53FD"/>
    <w:rsid w:val="00100768"/>
    <w:rsid w:val="00100A16"/>
    <w:rsid w:val="00104424"/>
    <w:rsid w:val="001055CF"/>
    <w:rsid w:val="00105A30"/>
    <w:rsid w:val="00105F4A"/>
    <w:rsid w:val="001078D1"/>
    <w:rsid w:val="00113A89"/>
    <w:rsid w:val="00114A44"/>
    <w:rsid w:val="00116D81"/>
    <w:rsid w:val="00116DEE"/>
    <w:rsid w:val="00121090"/>
    <w:rsid w:val="001221DC"/>
    <w:rsid w:val="00123E71"/>
    <w:rsid w:val="00124575"/>
    <w:rsid w:val="00124C77"/>
    <w:rsid w:val="001269A7"/>
    <w:rsid w:val="0013189D"/>
    <w:rsid w:val="00131BA4"/>
    <w:rsid w:val="00133E47"/>
    <w:rsid w:val="001352A8"/>
    <w:rsid w:val="0014183F"/>
    <w:rsid w:val="0014212B"/>
    <w:rsid w:val="001433B1"/>
    <w:rsid w:val="001434E4"/>
    <w:rsid w:val="00146C9E"/>
    <w:rsid w:val="00147154"/>
    <w:rsid w:val="00152540"/>
    <w:rsid w:val="00153321"/>
    <w:rsid w:val="00156187"/>
    <w:rsid w:val="001571EC"/>
    <w:rsid w:val="0015761E"/>
    <w:rsid w:val="001576BF"/>
    <w:rsid w:val="001642ED"/>
    <w:rsid w:val="001648B6"/>
    <w:rsid w:val="0016496D"/>
    <w:rsid w:val="00164F86"/>
    <w:rsid w:val="001652A8"/>
    <w:rsid w:val="00166161"/>
    <w:rsid w:val="001661A4"/>
    <w:rsid w:val="00167880"/>
    <w:rsid w:val="00167E4A"/>
    <w:rsid w:val="001703BB"/>
    <w:rsid w:val="001707EA"/>
    <w:rsid w:val="00171637"/>
    <w:rsid w:val="00174CB3"/>
    <w:rsid w:val="0017758F"/>
    <w:rsid w:val="001831CC"/>
    <w:rsid w:val="00184864"/>
    <w:rsid w:val="00185F9D"/>
    <w:rsid w:val="0019242A"/>
    <w:rsid w:val="00196EBF"/>
    <w:rsid w:val="001A16A1"/>
    <w:rsid w:val="001A2186"/>
    <w:rsid w:val="001A2DB6"/>
    <w:rsid w:val="001B0113"/>
    <w:rsid w:val="001B2023"/>
    <w:rsid w:val="001B24FE"/>
    <w:rsid w:val="001C163D"/>
    <w:rsid w:val="001C1C1C"/>
    <w:rsid w:val="001C2211"/>
    <w:rsid w:val="001C3A2F"/>
    <w:rsid w:val="001C4768"/>
    <w:rsid w:val="001D1D27"/>
    <w:rsid w:val="001D1F2C"/>
    <w:rsid w:val="001D522B"/>
    <w:rsid w:val="001D5239"/>
    <w:rsid w:val="001D5676"/>
    <w:rsid w:val="001D7089"/>
    <w:rsid w:val="001E14AE"/>
    <w:rsid w:val="001E254A"/>
    <w:rsid w:val="001E49E9"/>
    <w:rsid w:val="001E7626"/>
    <w:rsid w:val="001E76AD"/>
    <w:rsid w:val="001F18B6"/>
    <w:rsid w:val="001F4603"/>
    <w:rsid w:val="001F508B"/>
    <w:rsid w:val="002037D1"/>
    <w:rsid w:val="002038A2"/>
    <w:rsid w:val="0021060D"/>
    <w:rsid w:val="00213772"/>
    <w:rsid w:val="002138B3"/>
    <w:rsid w:val="00214E43"/>
    <w:rsid w:val="0022323C"/>
    <w:rsid w:val="0022790D"/>
    <w:rsid w:val="002321DB"/>
    <w:rsid w:val="002321EB"/>
    <w:rsid w:val="0023375F"/>
    <w:rsid w:val="0023400C"/>
    <w:rsid w:val="00235944"/>
    <w:rsid w:val="002415B8"/>
    <w:rsid w:val="00243508"/>
    <w:rsid w:val="002439F1"/>
    <w:rsid w:val="00244504"/>
    <w:rsid w:val="00246E41"/>
    <w:rsid w:val="002516EE"/>
    <w:rsid w:val="00253AAD"/>
    <w:rsid w:val="002561C4"/>
    <w:rsid w:val="00260728"/>
    <w:rsid w:val="002624B3"/>
    <w:rsid w:val="002644DC"/>
    <w:rsid w:val="00265535"/>
    <w:rsid w:val="00266160"/>
    <w:rsid w:val="0027069A"/>
    <w:rsid w:val="002723CA"/>
    <w:rsid w:val="00272CC2"/>
    <w:rsid w:val="00281300"/>
    <w:rsid w:val="002836DC"/>
    <w:rsid w:val="00287152"/>
    <w:rsid w:val="002877DA"/>
    <w:rsid w:val="00290734"/>
    <w:rsid w:val="00292310"/>
    <w:rsid w:val="00292AF7"/>
    <w:rsid w:val="00296FEF"/>
    <w:rsid w:val="00297274"/>
    <w:rsid w:val="002A33BF"/>
    <w:rsid w:val="002A3670"/>
    <w:rsid w:val="002A3CE3"/>
    <w:rsid w:val="002A483C"/>
    <w:rsid w:val="002B092D"/>
    <w:rsid w:val="002B13D2"/>
    <w:rsid w:val="002B2359"/>
    <w:rsid w:val="002B378B"/>
    <w:rsid w:val="002B5177"/>
    <w:rsid w:val="002B7008"/>
    <w:rsid w:val="002B736F"/>
    <w:rsid w:val="002C0ACA"/>
    <w:rsid w:val="002C2FDC"/>
    <w:rsid w:val="002C59B4"/>
    <w:rsid w:val="002C6EFE"/>
    <w:rsid w:val="002C7747"/>
    <w:rsid w:val="002D061C"/>
    <w:rsid w:val="002D0897"/>
    <w:rsid w:val="002D132C"/>
    <w:rsid w:val="002D310F"/>
    <w:rsid w:val="002D50A6"/>
    <w:rsid w:val="002D5CCA"/>
    <w:rsid w:val="002D5DE2"/>
    <w:rsid w:val="002E0BD4"/>
    <w:rsid w:val="002E124F"/>
    <w:rsid w:val="002E202B"/>
    <w:rsid w:val="002E536F"/>
    <w:rsid w:val="002E799C"/>
    <w:rsid w:val="002F4851"/>
    <w:rsid w:val="002F4A1D"/>
    <w:rsid w:val="002F59CF"/>
    <w:rsid w:val="002F5DC7"/>
    <w:rsid w:val="002F5EF9"/>
    <w:rsid w:val="002F6B77"/>
    <w:rsid w:val="002F6C4A"/>
    <w:rsid w:val="003030BD"/>
    <w:rsid w:val="003068D3"/>
    <w:rsid w:val="00310331"/>
    <w:rsid w:val="0031175A"/>
    <w:rsid w:val="003142D6"/>
    <w:rsid w:val="00314F4D"/>
    <w:rsid w:val="00315B40"/>
    <w:rsid w:val="00315C8E"/>
    <w:rsid w:val="00316084"/>
    <w:rsid w:val="0031639F"/>
    <w:rsid w:val="00316B1C"/>
    <w:rsid w:val="003208EB"/>
    <w:rsid w:val="0033087B"/>
    <w:rsid w:val="0033566D"/>
    <w:rsid w:val="00340AF0"/>
    <w:rsid w:val="00343A72"/>
    <w:rsid w:val="00346EBA"/>
    <w:rsid w:val="00350999"/>
    <w:rsid w:val="00352212"/>
    <w:rsid w:val="00352A1F"/>
    <w:rsid w:val="0035357E"/>
    <w:rsid w:val="003546A6"/>
    <w:rsid w:val="00355CD3"/>
    <w:rsid w:val="00362CB4"/>
    <w:rsid w:val="003679C4"/>
    <w:rsid w:val="003754C7"/>
    <w:rsid w:val="00375AC2"/>
    <w:rsid w:val="003769AB"/>
    <w:rsid w:val="00377631"/>
    <w:rsid w:val="00377DC6"/>
    <w:rsid w:val="003813AD"/>
    <w:rsid w:val="003817A3"/>
    <w:rsid w:val="0038350A"/>
    <w:rsid w:val="003836FF"/>
    <w:rsid w:val="003866B3"/>
    <w:rsid w:val="0038745E"/>
    <w:rsid w:val="003933F5"/>
    <w:rsid w:val="0039411C"/>
    <w:rsid w:val="003960DC"/>
    <w:rsid w:val="0039775D"/>
    <w:rsid w:val="003A0E94"/>
    <w:rsid w:val="003A1862"/>
    <w:rsid w:val="003A2228"/>
    <w:rsid w:val="003A345A"/>
    <w:rsid w:val="003A7C35"/>
    <w:rsid w:val="003B3934"/>
    <w:rsid w:val="003B645C"/>
    <w:rsid w:val="003C06D9"/>
    <w:rsid w:val="003C128D"/>
    <w:rsid w:val="003C6DA6"/>
    <w:rsid w:val="003C7E80"/>
    <w:rsid w:val="003D1B20"/>
    <w:rsid w:val="003D2D71"/>
    <w:rsid w:val="003D4DE1"/>
    <w:rsid w:val="003D559E"/>
    <w:rsid w:val="003D7341"/>
    <w:rsid w:val="003E1BEA"/>
    <w:rsid w:val="003E2E87"/>
    <w:rsid w:val="003E5237"/>
    <w:rsid w:val="003E692A"/>
    <w:rsid w:val="003F2CDF"/>
    <w:rsid w:val="003F32A9"/>
    <w:rsid w:val="003F4C40"/>
    <w:rsid w:val="004003DF"/>
    <w:rsid w:val="00400F65"/>
    <w:rsid w:val="0040122A"/>
    <w:rsid w:val="00404453"/>
    <w:rsid w:val="00405239"/>
    <w:rsid w:val="004069B9"/>
    <w:rsid w:val="00407450"/>
    <w:rsid w:val="00407F6A"/>
    <w:rsid w:val="0041171F"/>
    <w:rsid w:val="00413BFA"/>
    <w:rsid w:val="00414AA1"/>
    <w:rsid w:val="00414D77"/>
    <w:rsid w:val="004157AB"/>
    <w:rsid w:val="00420FF4"/>
    <w:rsid w:val="00421112"/>
    <w:rsid w:val="004219DF"/>
    <w:rsid w:val="004240CE"/>
    <w:rsid w:val="004276BD"/>
    <w:rsid w:val="00427BA0"/>
    <w:rsid w:val="004309FA"/>
    <w:rsid w:val="00433EB8"/>
    <w:rsid w:val="00435536"/>
    <w:rsid w:val="00436141"/>
    <w:rsid w:val="004370A2"/>
    <w:rsid w:val="00442EB8"/>
    <w:rsid w:val="00444078"/>
    <w:rsid w:val="00447744"/>
    <w:rsid w:val="00450150"/>
    <w:rsid w:val="0046075F"/>
    <w:rsid w:val="00462DF0"/>
    <w:rsid w:val="00464F48"/>
    <w:rsid w:val="00466795"/>
    <w:rsid w:val="00467B00"/>
    <w:rsid w:val="004702E5"/>
    <w:rsid w:val="00470F6E"/>
    <w:rsid w:val="004765B1"/>
    <w:rsid w:val="004812BC"/>
    <w:rsid w:val="00482F75"/>
    <w:rsid w:val="004836A2"/>
    <w:rsid w:val="00484F0F"/>
    <w:rsid w:val="00486F80"/>
    <w:rsid w:val="004870A3"/>
    <w:rsid w:val="004875BE"/>
    <w:rsid w:val="00491CDF"/>
    <w:rsid w:val="00491FA8"/>
    <w:rsid w:val="004943C5"/>
    <w:rsid w:val="00497BDA"/>
    <w:rsid w:val="00497FC2"/>
    <w:rsid w:val="004A235F"/>
    <w:rsid w:val="004A2FBE"/>
    <w:rsid w:val="004A3138"/>
    <w:rsid w:val="004A658B"/>
    <w:rsid w:val="004A68A8"/>
    <w:rsid w:val="004A72A7"/>
    <w:rsid w:val="004A7445"/>
    <w:rsid w:val="004A784C"/>
    <w:rsid w:val="004B02D0"/>
    <w:rsid w:val="004B4A90"/>
    <w:rsid w:val="004C3F08"/>
    <w:rsid w:val="004C6F97"/>
    <w:rsid w:val="004D262A"/>
    <w:rsid w:val="004E2F5D"/>
    <w:rsid w:val="004E482C"/>
    <w:rsid w:val="004F06D3"/>
    <w:rsid w:val="004F3F9D"/>
    <w:rsid w:val="004F5A2D"/>
    <w:rsid w:val="004F63F8"/>
    <w:rsid w:val="004F704E"/>
    <w:rsid w:val="005004EF"/>
    <w:rsid w:val="00501477"/>
    <w:rsid w:val="00502023"/>
    <w:rsid w:val="00502B90"/>
    <w:rsid w:val="005033C0"/>
    <w:rsid w:val="005066A2"/>
    <w:rsid w:val="00506E04"/>
    <w:rsid w:val="00507B94"/>
    <w:rsid w:val="00510162"/>
    <w:rsid w:val="0051031D"/>
    <w:rsid w:val="00511E3F"/>
    <w:rsid w:val="00513B7B"/>
    <w:rsid w:val="005140C3"/>
    <w:rsid w:val="00514A7A"/>
    <w:rsid w:val="00515D39"/>
    <w:rsid w:val="005213F2"/>
    <w:rsid w:val="00522D9F"/>
    <w:rsid w:val="005235FD"/>
    <w:rsid w:val="00524F7C"/>
    <w:rsid w:val="005312BC"/>
    <w:rsid w:val="00531C3D"/>
    <w:rsid w:val="00535DB8"/>
    <w:rsid w:val="00545182"/>
    <w:rsid w:val="00545770"/>
    <w:rsid w:val="00546033"/>
    <w:rsid w:val="00550C78"/>
    <w:rsid w:val="005520C2"/>
    <w:rsid w:val="0055380E"/>
    <w:rsid w:val="00561A7F"/>
    <w:rsid w:val="0056639A"/>
    <w:rsid w:val="005665F7"/>
    <w:rsid w:val="00572BA1"/>
    <w:rsid w:val="0057663C"/>
    <w:rsid w:val="0057715F"/>
    <w:rsid w:val="00577CFE"/>
    <w:rsid w:val="00582BC4"/>
    <w:rsid w:val="005830AD"/>
    <w:rsid w:val="00583D89"/>
    <w:rsid w:val="005910F5"/>
    <w:rsid w:val="00596694"/>
    <w:rsid w:val="005A33A9"/>
    <w:rsid w:val="005A37D7"/>
    <w:rsid w:val="005A3BD3"/>
    <w:rsid w:val="005A7A4C"/>
    <w:rsid w:val="005B3300"/>
    <w:rsid w:val="005B4F93"/>
    <w:rsid w:val="005B5566"/>
    <w:rsid w:val="005C0B56"/>
    <w:rsid w:val="005C11E6"/>
    <w:rsid w:val="005C64B2"/>
    <w:rsid w:val="005D203E"/>
    <w:rsid w:val="005D2A65"/>
    <w:rsid w:val="005D2CE6"/>
    <w:rsid w:val="005D3F48"/>
    <w:rsid w:val="005D619A"/>
    <w:rsid w:val="005D7B32"/>
    <w:rsid w:val="005E31B0"/>
    <w:rsid w:val="005E40A3"/>
    <w:rsid w:val="005E4E5B"/>
    <w:rsid w:val="005E5F4D"/>
    <w:rsid w:val="005E5FEA"/>
    <w:rsid w:val="005E6E6D"/>
    <w:rsid w:val="005F28D3"/>
    <w:rsid w:val="005F336D"/>
    <w:rsid w:val="005F34F9"/>
    <w:rsid w:val="005F4ADA"/>
    <w:rsid w:val="005F51FE"/>
    <w:rsid w:val="005F5E6E"/>
    <w:rsid w:val="005F6E42"/>
    <w:rsid w:val="005F78F9"/>
    <w:rsid w:val="005F7A66"/>
    <w:rsid w:val="00603FC1"/>
    <w:rsid w:val="00604CC4"/>
    <w:rsid w:val="006052B4"/>
    <w:rsid w:val="00606916"/>
    <w:rsid w:val="00607911"/>
    <w:rsid w:val="00613C60"/>
    <w:rsid w:val="006158D2"/>
    <w:rsid w:val="00615F15"/>
    <w:rsid w:val="00615F2D"/>
    <w:rsid w:val="00616117"/>
    <w:rsid w:val="006178E8"/>
    <w:rsid w:val="006200A3"/>
    <w:rsid w:val="00620829"/>
    <w:rsid w:val="00626F83"/>
    <w:rsid w:val="00626FAD"/>
    <w:rsid w:val="00633D59"/>
    <w:rsid w:val="00634E53"/>
    <w:rsid w:val="0063642E"/>
    <w:rsid w:val="00641101"/>
    <w:rsid w:val="00641638"/>
    <w:rsid w:val="00644063"/>
    <w:rsid w:val="00644F25"/>
    <w:rsid w:val="00645299"/>
    <w:rsid w:val="00654AA0"/>
    <w:rsid w:val="0066269E"/>
    <w:rsid w:val="00667BEC"/>
    <w:rsid w:val="00672840"/>
    <w:rsid w:val="006739C0"/>
    <w:rsid w:val="0068099A"/>
    <w:rsid w:val="006809F1"/>
    <w:rsid w:val="00684816"/>
    <w:rsid w:val="00685CCC"/>
    <w:rsid w:val="00685EC0"/>
    <w:rsid w:val="00686320"/>
    <w:rsid w:val="006906ED"/>
    <w:rsid w:val="00692781"/>
    <w:rsid w:val="00692E65"/>
    <w:rsid w:val="0069348E"/>
    <w:rsid w:val="00693F45"/>
    <w:rsid w:val="00695183"/>
    <w:rsid w:val="00695AA8"/>
    <w:rsid w:val="006A0638"/>
    <w:rsid w:val="006A18B0"/>
    <w:rsid w:val="006A364F"/>
    <w:rsid w:val="006A4D61"/>
    <w:rsid w:val="006A56E8"/>
    <w:rsid w:val="006A593F"/>
    <w:rsid w:val="006B343A"/>
    <w:rsid w:val="006B6A26"/>
    <w:rsid w:val="006B7BEE"/>
    <w:rsid w:val="006B7CB5"/>
    <w:rsid w:val="006C1348"/>
    <w:rsid w:val="006C20DC"/>
    <w:rsid w:val="006C2983"/>
    <w:rsid w:val="006C2B3A"/>
    <w:rsid w:val="006C7A44"/>
    <w:rsid w:val="006D0EB6"/>
    <w:rsid w:val="006D31D3"/>
    <w:rsid w:val="006D42BC"/>
    <w:rsid w:val="006D7049"/>
    <w:rsid w:val="006D7937"/>
    <w:rsid w:val="006E240E"/>
    <w:rsid w:val="006E37A0"/>
    <w:rsid w:val="006E3A1F"/>
    <w:rsid w:val="006E6396"/>
    <w:rsid w:val="006F2F33"/>
    <w:rsid w:val="006F3C35"/>
    <w:rsid w:val="006F567A"/>
    <w:rsid w:val="006F612B"/>
    <w:rsid w:val="006F62F4"/>
    <w:rsid w:val="006F68E2"/>
    <w:rsid w:val="00703CD7"/>
    <w:rsid w:val="00704A60"/>
    <w:rsid w:val="0070550A"/>
    <w:rsid w:val="0071252F"/>
    <w:rsid w:val="00712E75"/>
    <w:rsid w:val="00714393"/>
    <w:rsid w:val="00715046"/>
    <w:rsid w:val="00720972"/>
    <w:rsid w:val="007222EE"/>
    <w:rsid w:val="00722D7E"/>
    <w:rsid w:val="00724434"/>
    <w:rsid w:val="007244BE"/>
    <w:rsid w:val="00726C61"/>
    <w:rsid w:val="00731E5D"/>
    <w:rsid w:val="0073226E"/>
    <w:rsid w:val="00732779"/>
    <w:rsid w:val="00732B4B"/>
    <w:rsid w:val="0073422E"/>
    <w:rsid w:val="007343CF"/>
    <w:rsid w:val="00736C9F"/>
    <w:rsid w:val="0073752D"/>
    <w:rsid w:val="00741C4D"/>
    <w:rsid w:val="007427E1"/>
    <w:rsid w:val="00744C7A"/>
    <w:rsid w:val="00750B36"/>
    <w:rsid w:val="00751492"/>
    <w:rsid w:val="00757B00"/>
    <w:rsid w:val="00762445"/>
    <w:rsid w:val="00762D48"/>
    <w:rsid w:val="0076398F"/>
    <w:rsid w:val="007644D6"/>
    <w:rsid w:val="00771CD2"/>
    <w:rsid w:val="00772888"/>
    <w:rsid w:val="00777F36"/>
    <w:rsid w:val="007816CE"/>
    <w:rsid w:val="00784BAA"/>
    <w:rsid w:val="007901B5"/>
    <w:rsid w:val="0079202B"/>
    <w:rsid w:val="00793026"/>
    <w:rsid w:val="00795D45"/>
    <w:rsid w:val="0079685D"/>
    <w:rsid w:val="007A7384"/>
    <w:rsid w:val="007A7D2F"/>
    <w:rsid w:val="007B1285"/>
    <w:rsid w:val="007B292B"/>
    <w:rsid w:val="007B2E4B"/>
    <w:rsid w:val="007B4283"/>
    <w:rsid w:val="007B4D78"/>
    <w:rsid w:val="007B56F7"/>
    <w:rsid w:val="007B5C53"/>
    <w:rsid w:val="007C41FD"/>
    <w:rsid w:val="007D1A09"/>
    <w:rsid w:val="007D51C0"/>
    <w:rsid w:val="007D71D5"/>
    <w:rsid w:val="007E0874"/>
    <w:rsid w:val="007E11A8"/>
    <w:rsid w:val="007E2017"/>
    <w:rsid w:val="007E5A1D"/>
    <w:rsid w:val="007F1D8D"/>
    <w:rsid w:val="007F3D8F"/>
    <w:rsid w:val="007F58A7"/>
    <w:rsid w:val="007F6AAB"/>
    <w:rsid w:val="00800A39"/>
    <w:rsid w:val="008011FD"/>
    <w:rsid w:val="00803B9B"/>
    <w:rsid w:val="00812005"/>
    <w:rsid w:val="008155AC"/>
    <w:rsid w:val="008166D1"/>
    <w:rsid w:val="00821D4A"/>
    <w:rsid w:val="00822ACB"/>
    <w:rsid w:val="00822C0E"/>
    <w:rsid w:val="00823AFB"/>
    <w:rsid w:val="00827131"/>
    <w:rsid w:val="00833123"/>
    <w:rsid w:val="00833132"/>
    <w:rsid w:val="008331D0"/>
    <w:rsid w:val="00833C55"/>
    <w:rsid w:val="008378E8"/>
    <w:rsid w:val="00842749"/>
    <w:rsid w:val="00844CD3"/>
    <w:rsid w:val="00845283"/>
    <w:rsid w:val="008512DA"/>
    <w:rsid w:val="008534D6"/>
    <w:rsid w:val="008546EB"/>
    <w:rsid w:val="00855948"/>
    <w:rsid w:val="0085762C"/>
    <w:rsid w:val="00857BE4"/>
    <w:rsid w:val="00857C98"/>
    <w:rsid w:val="0086057C"/>
    <w:rsid w:val="00860760"/>
    <w:rsid w:val="00861127"/>
    <w:rsid w:val="0086145A"/>
    <w:rsid w:val="00861503"/>
    <w:rsid w:val="00862884"/>
    <w:rsid w:val="00862BBE"/>
    <w:rsid w:val="00863634"/>
    <w:rsid w:val="00864B3E"/>
    <w:rsid w:val="008656F4"/>
    <w:rsid w:val="00865FA6"/>
    <w:rsid w:val="00873B51"/>
    <w:rsid w:val="00876987"/>
    <w:rsid w:val="00876C88"/>
    <w:rsid w:val="00877528"/>
    <w:rsid w:val="008804EC"/>
    <w:rsid w:val="00880E2D"/>
    <w:rsid w:val="00881F6E"/>
    <w:rsid w:val="008848BE"/>
    <w:rsid w:val="00884CFE"/>
    <w:rsid w:val="0088570F"/>
    <w:rsid w:val="00885D15"/>
    <w:rsid w:val="00887DC9"/>
    <w:rsid w:val="008924DC"/>
    <w:rsid w:val="00893527"/>
    <w:rsid w:val="008954DE"/>
    <w:rsid w:val="00895F33"/>
    <w:rsid w:val="0089792B"/>
    <w:rsid w:val="008A07FB"/>
    <w:rsid w:val="008A2D55"/>
    <w:rsid w:val="008A30F3"/>
    <w:rsid w:val="008A3DF5"/>
    <w:rsid w:val="008A51B0"/>
    <w:rsid w:val="008A7BA7"/>
    <w:rsid w:val="008B117D"/>
    <w:rsid w:val="008B3A08"/>
    <w:rsid w:val="008B4D92"/>
    <w:rsid w:val="008B5CC2"/>
    <w:rsid w:val="008B6B87"/>
    <w:rsid w:val="008B7C8D"/>
    <w:rsid w:val="008C56C6"/>
    <w:rsid w:val="008C6B25"/>
    <w:rsid w:val="008D023F"/>
    <w:rsid w:val="008D0363"/>
    <w:rsid w:val="008D1670"/>
    <w:rsid w:val="008D2243"/>
    <w:rsid w:val="008D5895"/>
    <w:rsid w:val="008D68AF"/>
    <w:rsid w:val="008E1BA3"/>
    <w:rsid w:val="008E50F8"/>
    <w:rsid w:val="008F26C8"/>
    <w:rsid w:val="0090307B"/>
    <w:rsid w:val="00904A7B"/>
    <w:rsid w:val="00904BBD"/>
    <w:rsid w:val="009119BF"/>
    <w:rsid w:val="00912594"/>
    <w:rsid w:val="009200B3"/>
    <w:rsid w:val="00923C51"/>
    <w:rsid w:val="00926A57"/>
    <w:rsid w:val="00931CE3"/>
    <w:rsid w:val="009320D2"/>
    <w:rsid w:val="00932A34"/>
    <w:rsid w:val="00932FCE"/>
    <w:rsid w:val="0093535A"/>
    <w:rsid w:val="00936441"/>
    <w:rsid w:val="00941039"/>
    <w:rsid w:val="009416DA"/>
    <w:rsid w:val="00943AC5"/>
    <w:rsid w:val="00943AEF"/>
    <w:rsid w:val="00944553"/>
    <w:rsid w:val="00945C0C"/>
    <w:rsid w:val="00946558"/>
    <w:rsid w:val="0094712A"/>
    <w:rsid w:val="00954661"/>
    <w:rsid w:val="00954C39"/>
    <w:rsid w:val="00954E78"/>
    <w:rsid w:val="009555A9"/>
    <w:rsid w:val="009600E6"/>
    <w:rsid w:val="00961BD8"/>
    <w:rsid w:val="009663D9"/>
    <w:rsid w:val="009664F8"/>
    <w:rsid w:val="00967003"/>
    <w:rsid w:val="00967AB2"/>
    <w:rsid w:val="009707DB"/>
    <w:rsid w:val="0097148F"/>
    <w:rsid w:val="009813D9"/>
    <w:rsid w:val="00983ED7"/>
    <w:rsid w:val="0098587D"/>
    <w:rsid w:val="009871A0"/>
    <w:rsid w:val="00987F80"/>
    <w:rsid w:val="00991160"/>
    <w:rsid w:val="00992248"/>
    <w:rsid w:val="009922A1"/>
    <w:rsid w:val="00992530"/>
    <w:rsid w:val="00993FD7"/>
    <w:rsid w:val="009950D9"/>
    <w:rsid w:val="00997331"/>
    <w:rsid w:val="009A0F42"/>
    <w:rsid w:val="009A1B0D"/>
    <w:rsid w:val="009A2583"/>
    <w:rsid w:val="009A5AA5"/>
    <w:rsid w:val="009A5F49"/>
    <w:rsid w:val="009A7F10"/>
    <w:rsid w:val="009B04D1"/>
    <w:rsid w:val="009B1B4C"/>
    <w:rsid w:val="009B2791"/>
    <w:rsid w:val="009B3C99"/>
    <w:rsid w:val="009B53B0"/>
    <w:rsid w:val="009B55B4"/>
    <w:rsid w:val="009B5A75"/>
    <w:rsid w:val="009B729F"/>
    <w:rsid w:val="009C1C2C"/>
    <w:rsid w:val="009C2C19"/>
    <w:rsid w:val="009C3071"/>
    <w:rsid w:val="009C319C"/>
    <w:rsid w:val="009C7625"/>
    <w:rsid w:val="009C7E23"/>
    <w:rsid w:val="009D1AEB"/>
    <w:rsid w:val="009D4480"/>
    <w:rsid w:val="009D4C6A"/>
    <w:rsid w:val="009D6B85"/>
    <w:rsid w:val="009D798E"/>
    <w:rsid w:val="009D79AB"/>
    <w:rsid w:val="009E3EFA"/>
    <w:rsid w:val="009E6FAB"/>
    <w:rsid w:val="009E77FF"/>
    <w:rsid w:val="009F29F5"/>
    <w:rsid w:val="009F5121"/>
    <w:rsid w:val="009F55CA"/>
    <w:rsid w:val="00A01ADC"/>
    <w:rsid w:val="00A02600"/>
    <w:rsid w:val="00A029DE"/>
    <w:rsid w:val="00A040D3"/>
    <w:rsid w:val="00A04547"/>
    <w:rsid w:val="00A049BF"/>
    <w:rsid w:val="00A061E1"/>
    <w:rsid w:val="00A0745A"/>
    <w:rsid w:val="00A119E3"/>
    <w:rsid w:val="00A11ED8"/>
    <w:rsid w:val="00A11FEA"/>
    <w:rsid w:val="00A15802"/>
    <w:rsid w:val="00A15906"/>
    <w:rsid w:val="00A2006B"/>
    <w:rsid w:val="00A23859"/>
    <w:rsid w:val="00A24F1C"/>
    <w:rsid w:val="00A26D0E"/>
    <w:rsid w:val="00A278CC"/>
    <w:rsid w:val="00A32632"/>
    <w:rsid w:val="00A36A92"/>
    <w:rsid w:val="00A36F9F"/>
    <w:rsid w:val="00A376B5"/>
    <w:rsid w:val="00A41731"/>
    <w:rsid w:val="00A425B5"/>
    <w:rsid w:val="00A457C5"/>
    <w:rsid w:val="00A468F2"/>
    <w:rsid w:val="00A4695A"/>
    <w:rsid w:val="00A51328"/>
    <w:rsid w:val="00A52E5F"/>
    <w:rsid w:val="00A54E86"/>
    <w:rsid w:val="00A572E9"/>
    <w:rsid w:val="00A61767"/>
    <w:rsid w:val="00A62A38"/>
    <w:rsid w:val="00A62ED4"/>
    <w:rsid w:val="00A6359E"/>
    <w:rsid w:val="00A649A0"/>
    <w:rsid w:val="00A70C46"/>
    <w:rsid w:val="00A73670"/>
    <w:rsid w:val="00A82322"/>
    <w:rsid w:val="00A83775"/>
    <w:rsid w:val="00A83ADF"/>
    <w:rsid w:val="00A85BF5"/>
    <w:rsid w:val="00A87211"/>
    <w:rsid w:val="00A90113"/>
    <w:rsid w:val="00A92174"/>
    <w:rsid w:val="00A927A8"/>
    <w:rsid w:val="00A92F58"/>
    <w:rsid w:val="00A952AB"/>
    <w:rsid w:val="00A95ABD"/>
    <w:rsid w:val="00AA3593"/>
    <w:rsid w:val="00AA44ED"/>
    <w:rsid w:val="00AA4B3E"/>
    <w:rsid w:val="00AA628C"/>
    <w:rsid w:val="00AA6EBA"/>
    <w:rsid w:val="00AB0393"/>
    <w:rsid w:val="00AB7213"/>
    <w:rsid w:val="00AC09B8"/>
    <w:rsid w:val="00AC1113"/>
    <w:rsid w:val="00AC15F4"/>
    <w:rsid w:val="00AC38DC"/>
    <w:rsid w:val="00AC78B2"/>
    <w:rsid w:val="00AD5A15"/>
    <w:rsid w:val="00AE4636"/>
    <w:rsid w:val="00AE688A"/>
    <w:rsid w:val="00AF1CD2"/>
    <w:rsid w:val="00AF77B5"/>
    <w:rsid w:val="00B00465"/>
    <w:rsid w:val="00B01294"/>
    <w:rsid w:val="00B03938"/>
    <w:rsid w:val="00B04A9F"/>
    <w:rsid w:val="00B05BD7"/>
    <w:rsid w:val="00B069F9"/>
    <w:rsid w:val="00B070F7"/>
    <w:rsid w:val="00B07169"/>
    <w:rsid w:val="00B0797E"/>
    <w:rsid w:val="00B07C76"/>
    <w:rsid w:val="00B125C0"/>
    <w:rsid w:val="00B13C30"/>
    <w:rsid w:val="00B13E02"/>
    <w:rsid w:val="00B17EA9"/>
    <w:rsid w:val="00B22728"/>
    <w:rsid w:val="00B2334B"/>
    <w:rsid w:val="00B26C6B"/>
    <w:rsid w:val="00B27025"/>
    <w:rsid w:val="00B3118D"/>
    <w:rsid w:val="00B325AF"/>
    <w:rsid w:val="00B326B1"/>
    <w:rsid w:val="00B32968"/>
    <w:rsid w:val="00B33FEA"/>
    <w:rsid w:val="00B355A0"/>
    <w:rsid w:val="00B36417"/>
    <w:rsid w:val="00B433B6"/>
    <w:rsid w:val="00B44E08"/>
    <w:rsid w:val="00B50C08"/>
    <w:rsid w:val="00B50D41"/>
    <w:rsid w:val="00B51AFC"/>
    <w:rsid w:val="00B53CC8"/>
    <w:rsid w:val="00B5436B"/>
    <w:rsid w:val="00B54D57"/>
    <w:rsid w:val="00B55EE7"/>
    <w:rsid w:val="00B605B5"/>
    <w:rsid w:val="00B63174"/>
    <w:rsid w:val="00B63966"/>
    <w:rsid w:val="00B63EF2"/>
    <w:rsid w:val="00B65000"/>
    <w:rsid w:val="00B67197"/>
    <w:rsid w:val="00B71A5F"/>
    <w:rsid w:val="00B739E4"/>
    <w:rsid w:val="00B73A56"/>
    <w:rsid w:val="00B73D95"/>
    <w:rsid w:val="00B7443E"/>
    <w:rsid w:val="00B74A48"/>
    <w:rsid w:val="00B76098"/>
    <w:rsid w:val="00B7613D"/>
    <w:rsid w:val="00B76A2F"/>
    <w:rsid w:val="00B81015"/>
    <w:rsid w:val="00B84C4F"/>
    <w:rsid w:val="00B876E0"/>
    <w:rsid w:val="00B94438"/>
    <w:rsid w:val="00B95752"/>
    <w:rsid w:val="00B962B9"/>
    <w:rsid w:val="00BA1032"/>
    <w:rsid w:val="00BA1365"/>
    <w:rsid w:val="00BA189D"/>
    <w:rsid w:val="00BA3CE3"/>
    <w:rsid w:val="00BA53D5"/>
    <w:rsid w:val="00BA64E2"/>
    <w:rsid w:val="00BA7F68"/>
    <w:rsid w:val="00BB1B22"/>
    <w:rsid w:val="00BB1D03"/>
    <w:rsid w:val="00BB2349"/>
    <w:rsid w:val="00BB48A3"/>
    <w:rsid w:val="00BC0977"/>
    <w:rsid w:val="00BC18BF"/>
    <w:rsid w:val="00BC1D61"/>
    <w:rsid w:val="00BC4E6B"/>
    <w:rsid w:val="00BC67BA"/>
    <w:rsid w:val="00BC7677"/>
    <w:rsid w:val="00BC76FA"/>
    <w:rsid w:val="00BD1AE2"/>
    <w:rsid w:val="00BD43F9"/>
    <w:rsid w:val="00BD5AC9"/>
    <w:rsid w:val="00BD6A87"/>
    <w:rsid w:val="00BE0A0F"/>
    <w:rsid w:val="00BE46BE"/>
    <w:rsid w:val="00BE4B09"/>
    <w:rsid w:val="00BE4CD1"/>
    <w:rsid w:val="00BF11E0"/>
    <w:rsid w:val="00BF19B9"/>
    <w:rsid w:val="00BF24CE"/>
    <w:rsid w:val="00BF46C5"/>
    <w:rsid w:val="00BF5258"/>
    <w:rsid w:val="00BF579F"/>
    <w:rsid w:val="00BF5F8E"/>
    <w:rsid w:val="00BF7C0B"/>
    <w:rsid w:val="00C0412B"/>
    <w:rsid w:val="00C0473B"/>
    <w:rsid w:val="00C05BB2"/>
    <w:rsid w:val="00C16583"/>
    <w:rsid w:val="00C17B32"/>
    <w:rsid w:val="00C2010A"/>
    <w:rsid w:val="00C228AF"/>
    <w:rsid w:val="00C22F4A"/>
    <w:rsid w:val="00C256BB"/>
    <w:rsid w:val="00C30FDB"/>
    <w:rsid w:val="00C333BC"/>
    <w:rsid w:val="00C34F23"/>
    <w:rsid w:val="00C36B50"/>
    <w:rsid w:val="00C37B56"/>
    <w:rsid w:val="00C41B00"/>
    <w:rsid w:val="00C422B3"/>
    <w:rsid w:val="00C4305B"/>
    <w:rsid w:val="00C44302"/>
    <w:rsid w:val="00C45E32"/>
    <w:rsid w:val="00C5046D"/>
    <w:rsid w:val="00C508BF"/>
    <w:rsid w:val="00C51EC6"/>
    <w:rsid w:val="00C56F3F"/>
    <w:rsid w:val="00C6393D"/>
    <w:rsid w:val="00C63F77"/>
    <w:rsid w:val="00C67B72"/>
    <w:rsid w:val="00C67F4D"/>
    <w:rsid w:val="00C713C0"/>
    <w:rsid w:val="00C72DD8"/>
    <w:rsid w:val="00C7481F"/>
    <w:rsid w:val="00C767F9"/>
    <w:rsid w:val="00C83459"/>
    <w:rsid w:val="00C8368E"/>
    <w:rsid w:val="00C83CDC"/>
    <w:rsid w:val="00C8460A"/>
    <w:rsid w:val="00C85F82"/>
    <w:rsid w:val="00C8633A"/>
    <w:rsid w:val="00C86503"/>
    <w:rsid w:val="00C8692E"/>
    <w:rsid w:val="00C91235"/>
    <w:rsid w:val="00C9278C"/>
    <w:rsid w:val="00C95DD1"/>
    <w:rsid w:val="00CA2EE1"/>
    <w:rsid w:val="00CA5144"/>
    <w:rsid w:val="00CA612D"/>
    <w:rsid w:val="00CA7A25"/>
    <w:rsid w:val="00CB0A07"/>
    <w:rsid w:val="00CB2DE5"/>
    <w:rsid w:val="00CB345D"/>
    <w:rsid w:val="00CB677D"/>
    <w:rsid w:val="00CC121F"/>
    <w:rsid w:val="00CC616E"/>
    <w:rsid w:val="00CC6239"/>
    <w:rsid w:val="00CC6DFE"/>
    <w:rsid w:val="00CC79DA"/>
    <w:rsid w:val="00CC7F1B"/>
    <w:rsid w:val="00CD1868"/>
    <w:rsid w:val="00CD5CB9"/>
    <w:rsid w:val="00CE05B0"/>
    <w:rsid w:val="00CE2D54"/>
    <w:rsid w:val="00CE65B8"/>
    <w:rsid w:val="00CE7489"/>
    <w:rsid w:val="00CF00F2"/>
    <w:rsid w:val="00CF10CD"/>
    <w:rsid w:val="00CF1A2D"/>
    <w:rsid w:val="00CF42B9"/>
    <w:rsid w:val="00CF52B0"/>
    <w:rsid w:val="00CF78AC"/>
    <w:rsid w:val="00D010B6"/>
    <w:rsid w:val="00D02FCB"/>
    <w:rsid w:val="00D0446B"/>
    <w:rsid w:val="00D054D8"/>
    <w:rsid w:val="00D10322"/>
    <w:rsid w:val="00D11B8F"/>
    <w:rsid w:val="00D12A16"/>
    <w:rsid w:val="00D13316"/>
    <w:rsid w:val="00D1611A"/>
    <w:rsid w:val="00D22A21"/>
    <w:rsid w:val="00D245A6"/>
    <w:rsid w:val="00D24A68"/>
    <w:rsid w:val="00D24EBE"/>
    <w:rsid w:val="00D260DF"/>
    <w:rsid w:val="00D26CAD"/>
    <w:rsid w:val="00D31C8B"/>
    <w:rsid w:val="00D31DDD"/>
    <w:rsid w:val="00D31F73"/>
    <w:rsid w:val="00D344DC"/>
    <w:rsid w:val="00D36FF4"/>
    <w:rsid w:val="00D378D3"/>
    <w:rsid w:val="00D40F56"/>
    <w:rsid w:val="00D42298"/>
    <w:rsid w:val="00D42A54"/>
    <w:rsid w:val="00D47465"/>
    <w:rsid w:val="00D51123"/>
    <w:rsid w:val="00D57A07"/>
    <w:rsid w:val="00D60134"/>
    <w:rsid w:val="00D633A0"/>
    <w:rsid w:val="00D6444C"/>
    <w:rsid w:val="00D6525C"/>
    <w:rsid w:val="00D654C3"/>
    <w:rsid w:val="00D65CD2"/>
    <w:rsid w:val="00D7069F"/>
    <w:rsid w:val="00D72E05"/>
    <w:rsid w:val="00D7325E"/>
    <w:rsid w:val="00D742A7"/>
    <w:rsid w:val="00D75A4D"/>
    <w:rsid w:val="00D76408"/>
    <w:rsid w:val="00D8133E"/>
    <w:rsid w:val="00D81536"/>
    <w:rsid w:val="00D81B4D"/>
    <w:rsid w:val="00D82731"/>
    <w:rsid w:val="00D8518A"/>
    <w:rsid w:val="00D867B2"/>
    <w:rsid w:val="00D86905"/>
    <w:rsid w:val="00D90196"/>
    <w:rsid w:val="00D93655"/>
    <w:rsid w:val="00D9555B"/>
    <w:rsid w:val="00D97AC2"/>
    <w:rsid w:val="00DA13B5"/>
    <w:rsid w:val="00DA307D"/>
    <w:rsid w:val="00DA40B5"/>
    <w:rsid w:val="00DA411A"/>
    <w:rsid w:val="00DA6850"/>
    <w:rsid w:val="00DB53EF"/>
    <w:rsid w:val="00DB7380"/>
    <w:rsid w:val="00DB7C34"/>
    <w:rsid w:val="00DC0204"/>
    <w:rsid w:val="00DC113E"/>
    <w:rsid w:val="00DC249D"/>
    <w:rsid w:val="00DC4824"/>
    <w:rsid w:val="00DC50E4"/>
    <w:rsid w:val="00DC6733"/>
    <w:rsid w:val="00DC70D5"/>
    <w:rsid w:val="00DC73A0"/>
    <w:rsid w:val="00DC791F"/>
    <w:rsid w:val="00DD0C85"/>
    <w:rsid w:val="00DD102B"/>
    <w:rsid w:val="00DD4A45"/>
    <w:rsid w:val="00DD4F14"/>
    <w:rsid w:val="00DD50DA"/>
    <w:rsid w:val="00DD5F13"/>
    <w:rsid w:val="00DE1B32"/>
    <w:rsid w:val="00DE5CBA"/>
    <w:rsid w:val="00DE7536"/>
    <w:rsid w:val="00DF057B"/>
    <w:rsid w:val="00DF41EE"/>
    <w:rsid w:val="00DF4225"/>
    <w:rsid w:val="00E0411F"/>
    <w:rsid w:val="00E064EE"/>
    <w:rsid w:val="00E1071F"/>
    <w:rsid w:val="00E12AFE"/>
    <w:rsid w:val="00E15277"/>
    <w:rsid w:val="00E20482"/>
    <w:rsid w:val="00E21FFF"/>
    <w:rsid w:val="00E22E52"/>
    <w:rsid w:val="00E23344"/>
    <w:rsid w:val="00E27266"/>
    <w:rsid w:val="00E277A2"/>
    <w:rsid w:val="00E30380"/>
    <w:rsid w:val="00E40D16"/>
    <w:rsid w:val="00E43814"/>
    <w:rsid w:val="00E44E23"/>
    <w:rsid w:val="00E52DFB"/>
    <w:rsid w:val="00E564F1"/>
    <w:rsid w:val="00E615E4"/>
    <w:rsid w:val="00E63462"/>
    <w:rsid w:val="00E63DDD"/>
    <w:rsid w:val="00E64079"/>
    <w:rsid w:val="00E656FD"/>
    <w:rsid w:val="00E73B21"/>
    <w:rsid w:val="00E7574C"/>
    <w:rsid w:val="00E75E6B"/>
    <w:rsid w:val="00E77674"/>
    <w:rsid w:val="00E807E0"/>
    <w:rsid w:val="00E81765"/>
    <w:rsid w:val="00E8189B"/>
    <w:rsid w:val="00E827F9"/>
    <w:rsid w:val="00E83BDE"/>
    <w:rsid w:val="00E84E34"/>
    <w:rsid w:val="00E8569D"/>
    <w:rsid w:val="00E8611C"/>
    <w:rsid w:val="00E87FEB"/>
    <w:rsid w:val="00E91BEB"/>
    <w:rsid w:val="00E92120"/>
    <w:rsid w:val="00E948F7"/>
    <w:rsid w:val="00E94CB0"/>
    <w:rsid w:val="00E97F08"/>
    <w:rsid w:val="00EA08EB"/>
    <w:rsid w:val="00EA0A83"/>
    <w:rsid w:val="00EA0EF0"/>
    <w:rsid w:val="00EA378C"/>
    <w:rsid w:val="00EA7934"/>
    <w:rsid w:val="00EB1E02"/>
    <w:rsid w:val="00EC3391"/>
    <w:rsid w:val="00EC6426"/>
    <w:rsid w:val="00ED08FD"/>
    <w:rsid w:val="00ED0F36"/>
    <w:rsid w:val="00ED141A"/>
    <w:rsid w:val="00ED3942"/>
    <w:rsid w:val="00ED66D2"/>
    <w:rsid w:val="00EE06A9"/>
    <w:rsid w:val="00EE1D4A"/>
    <w:rsid w:val="00EF561C"/>
    <w:rsid w:val="00EF563D"/>
    <w:rsid w:val="00EF5E9F"/>
    <w:rsid w:val="00EF615A"/>
    <w:rsid w:val="00EF733C"/>
    <w:rsid w:val="00F0404A"/>
    <w:rsid w:val="00F04A41"/>
    <w:rsid w:val="00F110EE"/>
    <w:rsid w:val="00F110F7"/>
    <w:rsid w:val="00F12027"/>
    <w:rsid w:val="00F139AC"/>
    <w:rsid w:val="00F14C71"/>
    <w:rsid w:val="00F14C9D"/>
    <w:rsid w:val="00F15BA1"/>
    <w:rsid w:val="00F2178B"/>
    <w:rsid w:val="00F27147"/>
    <w:rsid w:val="00F27B32"/>
    <w:rsid w:val="00F339E9"/>
    <w:rsid w:val="00F35668"/>
    <w:rsid w:val="00F35C7D"/>
    <w:rsid w:val="00F40C83"/>
    <w:rsid w:val="00F4469C"/>
    <w:rsid w:val="00F468E2"/>
    <w:rsid w:val="00F51C53"/>
    <w:rsid w:val="00F52996"/>
    <w:rsid w:val="00F55E57"/>
    <w:rsid w:val="00F56353"/>
    <w:rsid w:val="00F56B25"/>
    <w:rsid w:val="00F61239"/>
    <w:rsid w:val="00F65296"/>
    <w:rsid w:val="00F65AA8"/>
    <w:rsid w:val="00F65F82"/>
    <w:rsid w:val="00F70E45"/>
    <w:rsid w:val="00F735A8"/>
    <w:rsid w:val="00F74ECB"/>
    <w:rsid w:val="00F765BD"/>
    <w:rsid w:val="00F77A17"/>
    <w:rsid w:val="00F81491"/>
    <w:rsid w:val="00F8225D"/>
    <w:rsid w:val="00F82411"/>
    <w:rsid w:val="00F836F3"/>
    <w:rsid w:val="00F855A9"/>
    <w:rsid w:val="00F9224E"/>
    <w:rsid w:val="00F93483"/>
    <w:rsid w:val="00F93C68"/>
    <w:rsid w:val="00F948D2"/>
    <w:rsid w:val="00F952D0"/>
    <w:rsid w:val="00F95FDB"/>
    <w:rsid w:val="00FA054B"/>
    <w:rsid w:val="00FA16C0"/>
    <w:rsid w:val="00FA3B31"/>
    <w:rsid w:val="00FA4249"/>
    <w:rsid w:val="00FA43BF"/>
    <w:rsid w:val="00FA4D01"/>
    <w:rsid w:val="00FA54AF"/>
    <w:rsid w:val="00FA6CAD"/>
    <w:rsid w:val="00FB013B"/>
    <w:rsid w:val="00FB2438"/>
    <w:rsid w:val="00FB5B50"/>
    <w:rsid w:val="00FB60F3"/>
    <w:rsid w:val="00FC1FFB"/>
    <w:rsid w:val="00FC2B93"/>
    <w:rsid w:val="00FC337C"/>
    <w:rsid w:val="00FD0F03"/>
    <w:rsid w:val="00FD212E"/>
    <w:rsid w:val="00FD331D"/>
    <w:rsid w:val="00FD5FD0"/>
    <w:rsid w:val="00FE1675"/>
    <w:rsid w:val="00FE2D7E"/>
    <w:rsid w:val="00FE2F85"/>
    <w:rsid w:val="00FE760D"/>
    <w:rsid w:val="00FF2EDF"/>
    <w:rsid w:val="00FF43C6"/>
    <w:rsid w:val="00FF5A5B"/>
    <w:rsid w:val="00FF79C1"/>
    <w:rsid w:val="00FF7BB9"/>
    <w:rsid w:val="026D435F"/>
    <w:rsid w:val="02A67539"/>
    <w:rsid w:val="02C14170"/>
    <w:rsid w:val="033C2931"/>
    <w:rsid w:val="039E64A7"/>
    <w:rsid w:val="04A761D1"/>
    <w:rsid w:val="077C0255"/>
    <w:rsid w:val="07C52DFD"/>
    <w:rsid w:val="0AFA4307"/>
    <w:rsid w:val="0D0140E3"/>
    <w:rsid w:val="111C6628"/>
    <w:rsid w:val="117A7151"/>
    <w:rsid w:val="11CB508F"/>
    <w:rsid w:val="1455580F"/>
    <w:rsid w:val="166E073F"/>
    <w:rsid w:val="17FB4032"/>
    <w:rsid w:val="18FA5DA4"/>
    <w:rsid w:val="1A6C7455"/>
    <w:rsid w:val="1AF03AFC"/>
    <w:rsid w:val="1B564CCF"/>
    <w:rsid w:val="1C2D4DBB"/>
    <w:rsid w:val="1CC440A3"/>
    <w:rsid w:val="1CED5883"/>
    <w:rsid w:val="1D43315C"/>
    <w:rsid w:val="2032212B"/>
    <w:rsid w:val="216B2D49"/>
    <w:rsid w:val="223E3827"/>
    <w:rsid w:val="226A3BFE"/>
    <w:rsid w:val="23D07150"/>
    <w:rsid w:val="240B2A35"/>
    <w:rsid w:val="26B44648"/>
    <w:rsid w:val="27F542FC"/>
    <w:rsid w:val="293B5EE1"/>
    <w:rsid w:val="297C7545"/>
    <w:rsid w:val="29F40C31"/>
    <w:rsid w:val="2B0E23A4"/>
    <w:rsid w:val="2B4E69AB"/>
    <w:rsid w:val="2B620ABC"/>
    <w:rsid w:val="2C3E462D"/>
    <w:rsid w:val="2D4A488D"/>
    <w:rsid w:val="2E483DDB"/>
    <w:rsid w:val="2EBC0633"/>
    <w:rsid w:val="2FF033E0"/>
    <w:rsid w:val="30906C93"/>
    <w:rsid w:val="32B1210B"/>
    <w:rsid w:val="33671F5C"/>
    <w:rsid w:val="3473038D"/>
    <w:rsid w:val="369A0F8E"/>
    <w:rsid w:val="381A2D7F"/>
    <w:rsid w:val="38437492"/>
    <w:rsid w:val="389A0CAE"/>
    <w:rsid w:val="3BA33286"/>
    <w:rsid w:val="3C5B5CDC"/>
    <w:rsid w:val="3CC024C8"/>
    <w:rsid w:val="3D6F1FCA"/>
    <w:rsid w:val="3DC37929"/>
    <w:rsid w:val="420F052C"/>
    <w:rsid w:val="444E369B"/>
    <w:rsid w:val="44657BF1"/>
    <w:rsid w:val="447069BC"/>
    <w:rsid w:val="44965BC2"/>
    <w:rsid w:val="44BE19F5"/>
    <w:rsid w:val="4621735E"/>
    <w:rsid w:val="462B3A9A"/>
    <w:rsid w:val="46675F53"/>
    <w:rsid w:val="47A04ACD"/>
    <w:rsid w:val="47D52DF0"/>
    <w:rsid w:val="47D63224"/>
    <w:rsid w:val="4BAE3B02"/>
    <w:rsid w:val="4BE42F25"/>
    <w:rsid w:val="4BFA450A"/>
    <w:rsid w:val="4C623501"/>
    <w:rsid w:val="4C9C1514"/>
    <w:rsid w:val="4DA10139"/>
    <w:rsid w:val="4DCA30DB"/>
    <w:rsid w:val="4EB47D2F"/>
    <w:rsid w:val="4F3A4577"/>
    <w:rsid w:val="50EA2BE3"/>
    <w:rsid w:val="51962E3A"/>
    <w:rsid w:val="54505185"/>
    <w:rsid w:val="54DB5319"/>
    <w:rsid w:val="563A2152"/>
    <w:rsid w:val="571263D6"/>
    <w:rsid w:val="574F2C76"/>
    <w:rsid w:val="575C450A"/>
    <w:rsid w:val="588A261C"/>
    <w:rsid w:val="58904F9C"/>
    <w:rsid w:val="59475DF2"/>
    <w:rsid w:val="59861800"/>
    <w:rsid w:val="599325A8"/>
    <w:rsid w:val="5C3F7704"/>
    <w:rsid w:val="5C982EF5"/>
    <w:rsid w:val="5D05715F"/>
    <w:rsid w:val="5DCC6317"/>
    <w:rsid w:val="5DEF5136"/>
    <w:rsid w:val="5ECE6873"/>
    <w:rsid w:val="61407E25"/>
    <w:rsid w:val="614D5A91"/>
    <w:rsid w:val="62063D06"/>
    <w:rsid w:val="624E32AE"/>
    <w:rsid w:val="63716B8E"/>
    <w:rsid w:val="63C25566"/>
    <w:rsid w:val="65CA1717"/>
    <w:rsid w:val="665506A9"/>
    <w:rsid w:val="689709E1"/>
    <w:rsid w:val="69750A27"/>
    <w:rsid w:val="6C272C6C"/>
    <w:rsid w:val="6C4D0825"/>
    <w:rsid w:val="6C997176"/>
    <w:rsid w:val="6FD7F51D"/>
    <w:rsid w:val="6FE0523A"/>
    <w:rsid w:val="706C73E6"/>
    <w:rsid w:val="762477D0"/>
    <w:rsid w:val="79BF7968"/>
    <w:rsid w:val="7D247504"/>
    <w:rsid w:val="7D38623C"/>
    <w:rsid w:val="7D4A271F"/>
    <w:rsid w:val="7E9138C1"/>
    <w:rsid w:val="7EF6699C"/>
    <w:rsid w:val="F4EF4B66"/>
    <w:rsid w:val="F77FB7D3"/>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0"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uiPriority="99" w:name="footnote text"/>
    <w:lsdException w:qFormat="1" w:uiPriority="99" w:semiHidden="0" w:name="annotation text"/>
    <w:lsdException w:qFormat="1" w:unhideWhenUsed="0" w:uiPriority="99"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nhideWhenUsed="0" w:uiPriority="0" w:semiHidden="0"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semiHidden="0" w:name="FollowedHyperlink"/>
    <w:lsdException w:qFormat="1" w:unhideWhenUsed="0" w:uiPriority="22" w:semiHidden="0" w:name="Strong"/>
    <w:lsdException w:qFormat="1" w:unhideWhenUsed="0" w:uiPriority="20" w:semiHidden="0" w:name="Emphasis"/>
    <w:lsdException w:uiPriority="99" w:name="Document Map"/>
    <w:lsdException w:qFormat="1" w:uiPriority="99"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2">
    <w:name w:val="heading 1"/>
    <w:basedOn w:val="1"/>
    <w:next w:val="1"/>
    <w:link w:val="43"/>
    <w:qFormat/>
    <w:uiPriority w:val="9"/>
    <w:pPr>
      <w:keepNext/>
      <w:keepLines/>
      <w:pageBreakBefore/>
      <w:adjustRightInd w:val="0"/>
      <w:spacing w:before="100" w:beforeLines="100" w:after="100" w:afterLines="100" w:line="578" w:lineRule="auto"/>
      <w:ind w:left="425" w:hanging="425"/>
      <w:outlineLvl w:val="0"/>
    </w:pPr>
    <w:rPr>
      <w:rFonts w:eastAsia="黑体"/>
      <w:bCs/>
      <w:kern w:val="44"/>
      <w:sz w:val="44"/>
      <w:szCs w:val="44"/>
    </w:rPr>
  </w:style>
  <w:style w:type="paragraph" w:styleId="3">
    <w:name w:val="heading 2"/>
    <w:basedOn w:val="1"/>
    <w:next w:val="1"/>
    <w:link w:val="44"/>
    <w:qFormat/>
    <w:uiPriority w:val="0"/>
    <w:pPr>
      <w:keepNext/>
      <w:keepLines/>
      <w:numPr>
        <w:ilvl w:val="1"/>
        <w:numId w:val="1"/>
      </w:numPr>
      <w:spacing w:before="156" w:beforeLines="50" w:after="156" w:afterLines="50" w:line="240" w:lineRule="atLeast"/>
      <w:outlineLvl w:val="1"/>
    </w:pPr>
    <w:rPr>
      <w:rFonts w:ascii="黑体" w:hAnsi="黑体" w:eastAsia="黑体"/>
      <w:bCs/>
      <w:sz w:val="32"/>
      <w:szCs w:val="32"/>
    </w:rPr>
  </w:style>
  <w:style w:type="paragraph" w:styleId="4">
    <w:name w:val="heading 3"/>
    <w:basedOn w:val="1"/>
    <w:next w:val="1"/>
    <w:link w:val="45"/>
    <w:qFormat/>
    <w:uiPriority w:val="9"/>
    <w:pPr>
      <w:keepNext/>
      <w:keepLines/>
      <w:numPr>
        <w:ilvl w:val="2"/>
        <w:numId w:val="1"/>
      </w:numPr>
      <w:spacing w:before="50" w:beforeLines="50" w:after="50" w:afterLines="50" w:line="415" w:lineRule="auto"/>
      <w:outlineLvl w:val="2"/>
    </w:pPr>
    <w:rPr>
      <w:rFonts w:eastAsia="黑体"/>
      <w:bCs/>
      <w:sz w:val="30"/>
      <w:szCs w:val="32"/>
    </w:rPr>
  </w:style>
  <w:style w:type="paragraph" w:styleId="5">
    <w:name w:val="heading 4"/>
    <w:basedOn w:val="1"/>
    <w:next w:val="1"/>
    <w:link w:val="46"/>
    <w:qFormat/>
    <w:uiPriority w:val="0"/>
    <w:pPr>
      <w:keepNext/>
      <w:keepLines/>
      <w:numPr>
        <w:ilvl w:val="3"/>
        <w:numId w:val="1"/>
      </w:numPr>
      <w:spacing w:before="156" w:beforeLines="50" w:after="156" w:afterLines="50" w:line="377" w:lineRule="auto"/>
      <w:outlineLvl w:val="3"/>
    </w:pPr>
    <w:rPr>
      <w:rFonts w:eastAsia="黑体"/>
      <w:bCs/>
      <w:sz w:val="28"/>
      <w:szCs w:val="28"/>
    </w:rPr>
  </w:style>
  <w:style w:type="paragraph" w:styleId="6">
    <w:name w:val="heading 5"/>
    <w:next w:val="1"/>
    <w:link w:val="47"/>
    <w:qFormat/>
    <w:uiPriority w:val="9"/>
    <w:pPr>
      <w:numPr>
        <w:ilvl w:val="4"/>
        <w:numId w:val="1"/>
      </w:numPr>
      <w:spacing w:before="78" w:beforeLines="25" w:after="78" w:afterLines="25"/>
      <w:ind w:left="0" w:firstLine="0"/>
      <w:outlineLvl w:val="4"/>
    </w:pPr>
    <w:rPr>
      <w:rFonts w:ascii="Times New Roman" w:hAnsi="Times New Roman" w:eastAsia="黑体" w:cs="Times New Roman"/>
      <w:sz w:val="24"/>
      <w:lang w:bidi="ar-SA"/>
    </w:rPr>
  </w:style>
  <w:style w:type="paragraph" w:styleId="7">
    <w:name w:val="heading 6"/>
    <w:basedOn w:val="1"/>
    <w:next w:val="1"/>
    <w:link w:val="48"/>
    <w:qFormat/>
    <w:uiPriority w:val="9"/>
    <w:pPr>
      <w:keepNext/>
      <w:keepLines/>
      <w:numPr>
        <w:ilvl w:val="5"/>
        <w:numId w:val="1"/>
      </w:numPr>
      <w:spacing w:before="240" w:after="64" w:line="320" w:lineRule="auto"/>
      <w:ind w:left="0" w:firstLine="0"/>
      <w:outlineLvl w:val="5"/>
    </w:pPr>
    <w:rPr>
      <w:rFonts w:ascii="宋体" w:hAnsi="宋体"/>
      <w:b/>
      <w:bCs/>
      <w:sz w:val="24"/>
      <w:szCs w:val="24"/>
    </w:rPr>
  </w:style>
  <w:style w:type="paragraph" w:styleId="8">
    <w:name w:val="heading 7"/>
    <w:basedOn w:val="1"/>
    <w:next w:val="1"/>
    <w:link w:val="49"/>
    <w:qFormat/>
    <w:uiPriority w:val="9"/>
    <w:pPr>
      <w:keepNext/>
      <w:keepLines/>
      <w:spacing w:before="240" w:after="64" w:line="320" w:lineRule="auto"/>
      <w:ind w:left="3827" w:hanging="1276"/>
      <w:outlineLvl w:val="6"/>
    </w:pPr>
    <w:rPr>
      <w:b/>
      <w:bCs/>
      <w:sz w:val="24"/>
      <w:szCs w:val="24"/>
    </w:rPr>
  </w:style>
  <w:style w:type="paragraph" w:styleId="9">
    <w:name w:val="heading 8"/>
    <w:basedOn w:val="1"/>
    <w:next w:val="1"/>
    <w:link w:val="50"/>
    <w:qFormat/>
    <w:uiPriority w:val="9"/>
    <w:pPr>
      <w:keepNext/>
      <w:keepLines/>
      <w:spacing w:before="240" w:after="64" w:line="320" w:lineRule="auto"/>
      <w:ind w:left="4394" w:hanging="1418"/>
      <w:outlineLvl w:val="7"/>
    </w:pPr>
    <w:rPr>
      <w:rFonts w:ascii="等线 Light" w:hAnsi="等线 Light" w:eastAsia="等线 Light"/>
      <w:sz w:val="24"/>
      <w:szCs w:val="24"/>
    </w:rPr>
  </w:style>
  <w:style w:type="paragraph" w:styleId="10">
    <w:name w:val="heading 9"/>
    <w:basedOn w:val="1"/>
    <w:next w:val="1"/>
    <w:link w:val="51"/>
    <w:qFormat/>
    <w:uiPriority w:val="9"/>
    <w:pPr>
      <w:keepNext/>
      <w:keepLines/>
      <w:spacing w:before="240" w:after="64" w:line="320" w:lineRule="auto"/>
      <w:ind w:left="5102" w:hanging="1700"/>
      <w:outlineLvl w:val="8"/>
    </w:pPr>
    <w:rPr>
      <w:rFonts w:ascii="等线 Light" w:hAnsi="等线 Light" w:eastAsia="等线 Light"/>
      <w:sz w:val="28"/>
      <w:szCs w:val="21"/>
    </w:rPr>
  </w:style>
  <w:style w:type="character" w:default="1" w:styleId="35">
    <w:name w:val="Default Paragraph Font"/>
    <w:qFormat/>
    <w:uiPriority w:val="0"/>
  </w:style>
  <w:style w:type="table" w:default="1" w:styleId="34">
    <w:name w:val="Normal Table"/>
    <w:unhideWhenUsed/>
    <w:qFormat/>
    <w:uiPriority w:val="99"/>
    <w:tblPr>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rPr>
      <w:rFonts w:ascii="等线" w:hAnsi="等线" w:eastAsia="等线"/>
      <w:sz w:val="28"/>
    </w:rPr>
  </w:style>
  <w:style w:type="paragraph" w:styleId="12">
    <w:name w:val="Normal Indent"/>
    <w:basedOn w:val="1"/>
    <w:link w:val="52"/>
    <w:qFormat/>
    <w:uiPriority w:val="0"/>
    <w:pPr>
      <w:ind w:firstLine="420" w:firstLineChars="200"/>
    </w:pPr>
    <w:rPr>
      <w:szCs w:val="24"/>
    </w:rPr>
  </w:style>
  <w:style w:type="paragraph" w:styleId="13">
    <w:name w:val="caption"/>
    <w:next w:val="1"/>
    <w:qFormat/>
    <w:uiPriority w:val="0"/>
    <w:pPr>
      <w:keepNext/>
      <w:snapToGrid w:val="0"/>
      <w:spacing w:line="360" w:lineRule="auto"/>
      <w:ind w:firstLine="640" w:firstLineChars="200"/>
      <w:jc w:val="center"/>
    </w:pPr>
    <w:rPr>
      <w:rFonts w:ascii="仿宋" w:hAnsi="仿宋" w:eastAsia="宋体" w:cs="Times New Roman"/>
      <w:b/>
      <w:sz w:val="24"/>
      <w:szCs w:val="24"/>
      <w:lang w:val="en-GB" w:eastAsia="zh-CN" w:bidi="ar-SA"/>
    </w:rPr>
  </w:style>
  <w:style w:type="paragraph" w:styleId="14">
    <w:name w:val="annotation text"/>
    <w:basedOn w:val="1"/>
    <w:link w:val="53"/>
    <w:unhideWhenUsed/>
    <w:qFormat/>
    <w:uiPriority w:val="99"/>
    <w:pPr>
      <w:jc w:val="left"/>
    </w:pPr>
  </w:style>
  <w:style w:type="paragraph" w:styleId="15">
    <w:name w:val="Body Text"/>
    <w:basedOn w:val="1"/>
    <w:next w:val="1"/>
    <w:link w:val="54"/>
    <w:unhideWhenUsed/>
    <w:qFormat/>
    <w:uiPriority w:val="99"/>
    <w:pPr>
      <w:snapToGrid w:val="0"/>
      <w:spacing w:after="120" w:line="360" w:lineRule="auto"/>
      <w:ind w:firstLine="200" w:firstLineChars="200"/>
    </w:pPr>
    <w:rPr>
      <w:rFonts w:ascii="宋体" w:hAnsi="宋体"/>
      <w:sz w:val="24"/>
    </w:rPr>
  </w:style>
  <w:style w:type="paragraph" w:styleId="16">
    <w:name w:val="Body Text Indent"/>
    <w:basedOn w:val="1"/>
    <w:link w:val="55"/>
    <w:unhideWhenUsed/>
    <w:qFormat/>
    <w:uiPriority w:val="99"/>
    <w:pPr>
      <w:spacing w:after="120"/>
      <w:ind w:left="420" w:leftChars="200"/>
    </w:pPr>
    <w:rPr>
      <w:sz w:val="28"/>
      <w:szCs w:val="24"/>
    </w:rPr>
  </w:style>
  <w:style w:type="paragraph" w:styleId="17">
    <w:name w:val="toc 5"/>
    <w:basedOn w:val="1"/>
    <w:next w:val="1"/>
    <w:unhideWhenUsed/>
    <w:qFormat/>
    <w:uiPriority w:val="39"/>
    <w:pPr>
      <w:ind w:left="1680" w:leftChars="800"/>
    </w:pPr>
    <w:rPr>
      <w:rFonts w:ascii="等线" w:hAnsi="等线" w:eastAsia="等线"/>
      <w:sz w:val="28"/>
    </w:rPr>
  </w:style>
  <w:style w:type="paragraph" w:styleId="18">
    <w:name w:val="toc 3"/>
    <w:basedOn w:val="1"/>
    <w:next w:val="1"/>
    <w:unhideWhenUsed/>
    <w:qFormat/>
    <w:uiPriority w:val="39"/>
    <w:pPr>
      <w:ind w:left="400" w:leftChars="400"/>
    </w:pPr>
    <w:rPr>
      <w:sz w:val="24"/>
      <w:szCs w:val="24"/>
    </w:rPr>
  </w:style>
  <w:style w:type="paragraph" w:styleId="19">
    <w:name w:val="Plain Text"/>
    <w:basedOn w:val="1"/>
    <w:next w:val="1"/>
    <w:unhideWhenUsed/>
    <w:qFormat/>
    <w:uiPriority w:val="99"/>
    <w:rPr>
      <w:rFonts w:ascii="宋体" w:hAnsi="Courier New" w:cs="Courier New"/>
      <w:szCs w:val="21"/>
    </w:rPr>
  </w:style>
  <w:style w:type="paragraph" w:styleId="20">
    <w:name w:val="toc 8"/>
    <w:basedOn w:val="1"/>
    <w:next w:val="1"/>
    <w:unhideWhenUsed/>
    <w:qFormat/>
    <w:uiPriority w:val="39"/>
    <w:pPr>
      <w:ind w:left="2940" w:leftChars="1400"/>
    </w:pPr>
    <w:rPr>
      <w:rFonts w:ascii="等线" w:hAnsi="等线" w:eastAsia="等线"/>
      <w:sz w:val="28"/>
    </w:rPr>
  </w:style>
  <w:style w:type="paragraph" w:styleId="21">
    <w:name w:val="Date"/>
    <w:basedOn w:val="1"/>
    <w:next w:val="1"/>
    <w:link w:val="56"/>
    <w:unhideWhenUsed/>
    <w:qFormat/>
    <w:uiPriority w:val="99"/>
    <w:rPr>
      <w:sz w:val="28"/>
      <w:szCs w:val="24"/>
    </w:rPr>
  </w:style>
  <w:style w:type="paragraph" w:styleId="22">
    <w:name w:val="Balloon Text"/>
    <w:basedOn w:val="1"/>
    <w:link w:val="57"/>
    <w:unhideWhenUsed/>
    <w:qFormat/>
    <w:uiPriority w:val="99"/>
    <w:rPr>
      <w:sz w:val="18"/>
      <w:szCs w:val="18"/>
    </w:rPr>
  </w:style>
  <w:style w:type="paragraph" w:styleId="23">
    <w:name w:val="footer"/>
    <w:basedOn w:val="1"/>
    <w:link w:val="58"/>
    <w:qFormat/>
    <w:uiPriority w:val="0"/>
    <w:pPr>
      <w:tabs>
        <w:tab w:val="center" w:pos="4153"/>
        <w:tab w:val="right" w:pos="8306"/>
      </w:tabs>
      <w:snapToGrid w:val="0"/>
      <w:jc w:val="left"/>
    </w:pPr>
    <w:rPr>
      <w:kern w:val="0"/>
      <w:sz w:val="18"/>
      <w:szCs w:val="18"/>
    </w:rPr>
  </w:style>
  <w:style w:type="paragraph" w:styleId="24">
    <w:name w:val="header"/>
    <w:basedOn w:val="1"/>
    <w:link w:val="59"/>
    <w:qFormat/>
    <w:uiPriority w:val="99"/>
    <w:pPr>
      <w:pBdr>
        <w:bottom w:val="single" w:color="auto" w:sz="6" w:space="1"/>
      </w:pBdr>
      <w:tabs>
        <w:tab w:val="center" w:pos="4153"/>
        <w:tab w:val="right" w:pos="8306"/>
      </w:tabs>
      <w:snapToGrid w:val="0"/>
      <w:jc w:val="center"/>
    </w:pPr>
    <w:rPr>
      <w:kern w:val="0"/>
      <w:sz w:val="18"/>
      <w:szCs w:val="18"/>
    </w:rPr>
  </w:style>
  <w:style w:type="paragraph" w:styleId="25">
    <w:name w:val="toc 1"/>
    <w:basedOn w:val="1"/>
    <w:next w:val="1"/>
    <w:unhideWhenUsed/>
    <w:qFormat/>
    <w:uiPriority w:val="39"/>
    <w:pPr>
      <w:tabs>
        <w:tab w:val="left" w:pos="420"/>
        <w:tab w:val="right" w:leader="dot" w:pos="8296"/>
      </w:tabs>
    </w:pPr>
    <w:rPr>
      <w:b/>
      <w:bCs/>
      <w:sz w:val="24"/>
      <w:szCs w:val="28"/>
    </w:rPr>
  </w:style>
  <w:style w:type="paragraph" w:styleId="26">
    <w:name w:val="toc 4"/>
    <w:basedOn w:val="1"/>
    <w:next w:val="1"/>
    <w:unhideWhenUsed/>
    <w:qFormat/>
    <w:uiPriority w:val="39"/>
    <w:pPr>
      <w:ind w:left="1260" w:leftChars="600"/>
    </w:pPr>
    <w:rPr>
      <w:rFonts w:ascii="等线" w:hAnsi="等线" w:eastAsia="等线"/>
      <w:sz w:val="28"/>
    </w:rPr>
  </w:style>
  <w:style w:type="paragraph" w:styleId="27">
    <w:name w:val="toc 6"/>
    <w:basedOn w:val="1"/>
    <w:next w:val="1"/>
    <w:unhideWhenUsed/>
    <w:qFormat/>
    <w:uiPriority w:val="39"/>
    <w:pPr>
      <w:ind w:left="2100" w:leftChars="1000"/>
    </w:pPr>
    <w:rPr>
      <w:rFonts w:ascii="等线" w:hAnsi="等线" w:eastAsia="等线"/>
      <w:sz w:val="28"/>
    </w:rPr>
  </w:style>
  <w:style w:type="paragraph" w:styleId="28">
    <w:name w:val="toc 2"/>
    <w:basedOn w:val="1"/>
    <w:next w:val="1"/>
    <w:unhideWhenUsed/>
    <w:qFormat/>
    <w:uiPriority w:val="39"/>
    <w:pPr>
      <w:ind w:left="420" w:leftChars="200"/>
    </w:pPr>
  </w:style>
  <w:style w:type="paragraph" w:styleId="29">
    <w:name w:val="toc 9"/>
    <w:basedOn w:val="1"/>
    <w:next w:val="1"/>
    <w:unhideWhenUsed/>
    <w:qFormat/>
    <w:uiPriority w:val="39"/>
    <w:pPr>
      <w:ind w:left="3360" w:leftChars="1600"/>
    </w:pPr>
    <w:rPr>
      <w:rFonts w:ascii="等线" w:hAnsi="等线" w:eastAsia="等线"/>
      <w:sz w:val="28"/>
    </w:rPr>
  </w:style>
  <w:style w:type="paragraph" w:styleId="30">
    <w:name w:val="HTML Preformatted"/>
    <w:basedOn w:val="1"/>
    <w:link w:val="60"/>
    <w:unhideWhenUsed/>
    <w:qFormat/>
    <w:uiPriority w:val="99"/>
    <w:rPr>
      <w:rFonts w:ascii="Courier New" w:hAnsi="Courier New" w:eastAsia="等线"/>
      <w:sz w:val="20"/>
      <w:szCs w:val="20"/>
    </w:rPr>
  </w:style>
  <w:style w:type="paragraph" w:styleId="31">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32">
    <w:name w:val="annotation subject"/>
    <w:basedOn w:val="14"/>
    <w:next w:val="14"/>
    <w:link w:val="61"/>
    <w:unhideWhenUsed/>
    <w:qFormat/>
    <w:uiPriority w:val="99"/>
    <w:rPr>
      <w:b/>
      <w:bCs/>
    </w:rPr>
  </w:style>
  <w:style w:type="paragraph" w:styleId="33">
    <w:name w:val="Body Text First Indent 2"/>
    <w:basedOn w:val="16"/>
    <w:link w:val="62"/>
    <w:unhideWhenUsed/>
    <w:qFormat/>
    <w:uiPriority w:val="99"/>
    <w:pPr>
      <w:ind w:firstLine="420" w:firstLineChars="200"/>
    </w:pPr>
  </w:style>
  <w:style w:type="character" w:styleId="36">
    <w:name w:val="Strong"/>
    <w:qFormat/>
    <w:uiPriority w:val="22"/>
    <w:rPr>
      <w:b/>
      <w:bCs/>
    </w:rPr>
  </w:style>
  <w:style w:type="character" w:styleId="37">
    <w:name w:val="page number"/>
    <w:qFormat/>
    <w:uiPriority w:val="0"/>
  </w:style>
  <w:style w:type="character" w:styleId="38">
    <w:name w:val="FollowedHyperlink"/>
    <w:unhideWhenUsed/>
    <w:qFormat/>
    <w:uiPriority w:val="99"/>
    <w:rPr>
      <w:color w:val="954F72"/>
      <w:u w:val="single"/>
    </w:rPr>
  </w:style>
  <w:style w:type="character" w:styleId="39">
    <w:name w:val="Emphasis"/>
    <w:qFormat/>
    <w:uiPriority w:val="20"/>
    <w:rPr>
      <w:b/>
      <w:iCs/>
    </w:rPr>
  </w:style>
  <w:style w:type="character" w:styleId="40">
    <w:name w:val="Hyperlink"/>
    <w:unhideWhenUsed/>
    <w:qFormat/>
    <w:uiPriority w:val="99"/>
    <w:rPr>
      <w:color w:val="0000FF"/>
      <w:u w:val="single"/>
    </w:rPr>
  </w:style>
  <w:style w:type="character" w:styleId="41">
    <w:name w:val="annotation reference"/>
    <w:unhideWhenUsed/>
    <w:qFormat/>
    <w:uiPriority w:val="99"/>
    <w:rPr>
      <w:sz w:val="21"/>
      <w:szCs w:val="21"/>
    </w:rPr>
  </w:style>
  <w:style w:type="paragraph" w:customStyle="1" w:styleId="42">
    <w:name w:val="z正文"/>
    <w:basedOn w:val="1"/>
    <w:qFormat/>
    <w:uiPriority w:val="0"/>
    <w:pPr>
      <w:widowControl w:val="0"/>
      <w:adjustRightInd/>
      <w:snapToGrid/>
      <w:spacing w:after="0"/>
      <w:ind w:firstLine="560" w:firstLineChars="200"/>
      <w:jc w:val="both"/>
    </w:pPr>
    <w:rPr>
      <w:rFonts w:ascii="Calibri" w:hAnsi="Calibri" w:eastAsia="仿宋_GB2312" w:cs="宋体"/>
      <w:kern w:val="2"/>
      <w:sz w:val="28"/>
    </w:rPr>
  </w:style>
  <w:style w:type="character" w:customStyle="1" w:styleId="43">
    <w:name w:val="标题 1 Char"/>
    <w:link w:val="2"/>
    <w:qFormat/>
    <w:uiPriority w:val="9"/>
    <w:rPr>
      <w:rFonts w:eastAsia="黑体"/>
      <w:bCs/>
      <w:kern w:val="44"/>
      <w:sz w:val="44"/>
      <w:szCs w:val="44"/>
    </w:rPr>
  </w:style>
  <w:style w:type="character" w:customStyle="1" w:styleId="44">
    <w:name w:val="标题 2 Char"/>
    <w:link w:val="3"/>
    <w:qFormat/>
    <w:uiPriority w:val="0"/>
    <w:rPr>
      <w:rFonts w:ascii="黑体" w:hAnsi="黑体" w:eastAsia="黑体"/>
      <w:bCs/>
      <w:kern w:val="2"/>
      <w:sz w:val="32"/>
      <w:szCs w:val="32"/>
    </w:rPr>
  </w:style>
  <w:style w:type="character" w:customStyle="1" w:styleId="45">
    <w:name w:val="标题 3 Char"/>
    <w:link w:val="4"/>
    <w:qFormat/>
    <w:uiPriority w:val="9"/>
    <w:rPr>
      <w:rFonts w:eastAsia="黑体"/>
      <w:bCs/>
      <w:kern w:val="2"/>
      <w:sz w:val="30"/>
      <w:szCs w:val="32"/>
    </w:rPr>
  </w:style>
  <w:style w:type="character" w:customStyle="1" w:styleId="46">
    <w:name w:val="标题 4 Char"/>
    <w:link w:val="5"/>
    <w:qFormat/>
    <w:uiPriority w:val="0"/>
    <w:rPr>
      <w:rFonts w:eastAsia="黑体"/>
      <w:bCs/>
      <w:kern w:val="2"/>
      <w:sz w:val="28"/>
      <w:szCs w:val="28"/>
    </w:rPr>
  </w:style>
  <w:style w:type="character" w:customStyle="1" w:styleId="47">
    <w:name w:val="标题 5 Char"/>
    <w:link w:val="6"/>
    <w:qFormat/>
    <w:uiPriority w:val="9"/>
    <w:rPr>
      <w:rFonts w:eastAsia="黑体"/>
      <w:sz w:val="24"/>
      <w:lang w:bidi="ar-SA"/>
    </w:rPr>
  </w:style>
  <w:style w:type="character" w:customStyle="1" w:styleId="48">
    <w:name w:val="标题 6 Char"/>
    <w:link w:val="7"/>
    <w:qFormat/>
    <w:uiPriority w:val="9"/>
    <w:rPr>
      <w:rFonts w:ascii="宋体" w:hAnsi="宋体"/>
      <w:b/>
      <w:bCs/>
      <w:kern w:val="2"/>
      <w:sz w:val="24"/>
      <w:szCs w:val="24"/>
    </w:rPr>
  </w:style>
  <w:style w:type="character" w:customStyle="1" w:styleId="49">
    <w:name w:val="标题 7 Char"/>
    <w:link w:val="8"/>
    <w:qFormat/>
    <w:uiPriority w:val="9"/>
    <w:rPr>
      <w:b/>
      <w:bCs/>
      <w:kern w:val="2"/>
      <w:sz w:val="24"/>
      <w:szCs w:val="24"/>
    </w:rPr>
  </w:style>
  <w:style w:type="character" w:customStyle="1" w:styleId="50">
    <w:name w:val="标题 8 Char"/>
    <w:link w:val="9"/>
    <w:qFormat/>
    <w:uiPriority w:val="9"/>
    <w:rPr>
      <w:rFonts w:ascii="等线 Light" w:hAnsi="等线 Light" w:eastAsia="等线 Light"/>
      <w:kern w:val="2"/>
      <w:sz w:val="24"/>
      <w:szCs w:val="24"/>
    </w:rPr>
  </w:style>
  <w:style w:type="character" w:customStyle="1" w:styleId="51">
    <w:name w:val="标题 9 Char"/>
    <w:link w:val="10"/>
    <w:qFormat/>
    <w:uiPriority w:val="9"/>
    <w:rPr>
      <w:rFonts w:ascii="等线 Light" w:hAnsi="等线 Light" w:eastAsia="等线 Light"/>
      <w:kern w:val="2"/>
      <w:sz w:val="28"/>
      <w:szCs w:val="21"/>
    </w:rPr>
  </w:style>
  <w:style w:type="character" w:customStyle="1" w:styleId="52">
    <w:name w:val="正文缩进 Char"/>
    <w:link w:val="12"/>
    <w:qFormat/>
    <w:uiPriority w:val="0"/>
    <w:rPr>
      <w:rFonts w:eastAsia="宋体"/>
      <w:kern w:val="2"/>
      <w:sz w:val="21"/>
      <w:szCs w:val="24"/>
      <w:lang w:val="en-US" w:eastAsia="zh-CN" w:bidi="ar-SA"/>
    </w:rPr>
  </w:style>
  <w:style w:type="character" w:customStyle="1" w:styleId="53">
    <w:name w:val="批注文字 Char"/>
    <w:link w:val="14"/>
    <w:qFormat/>
    <w:uiPriority w:val="99"/>
    <w:rPr>
      <w:kern w:val="2"/>
      <w:sz w:val="21"/>
      <w:szCs w:val="22"/>
    </w:rPr>
  </w:style>
  <w:style w:type="character" w:customStyle="1" w:styleId="54">
    <w:name w:val="正文文本 Char"/>
    <w:link w:val="15"/>
    <w:qFormat/>
    <w:uiPriority w:val="99"/>
    <w:rPr>
      <w:rFonts w:ascii="宋体" w:hAnsi="宋体"/>
      <w:kern w:val="2"/>
      <w:sz w:val="24"/>
      <w:szCs w:val="22"/>
    </w:rPr>
  </w:style>
  <w:style w:type="character" w:customStyle="1" w:styleId="55">
    <w:name w:val="正文文本缩进 Char"/>
    <w:link w:val="16"/>
    <w:semiHidden/>
    <w:qFormat/>
    <w:uiPriority w:val="99"/>
    <w:rPr>
      <w:kern w:val="2"/>
      <w:sz w:val="28"/>
      <w:szCs w:val="24"/>
    </w:rPr>
  </w:style>
  <w:style w:type="character" w:customStyle="1" w:styleId="56">
    <w:name w:val="日期 Char"/>
    <w:link w:val="21"/>
    <w:qFormat/>
    <w:uiPriority w:val="99"/>
    <w:rPr>
      <w:kern w:val="2"/>
      <w:sz w:val="28"/>
      <w:szCs w:val="24"/>
    </w:rPr>
  </w:style>
  <w:style w:type="character" w:customStyle="1" w:styleId="57">
    <w:name w:val="批注框文本 Char"/>
    <w:link w:val="22"/>
    <w:qFormat/>
    <w:uiPriority w:val="99"/>
    <w:rPr>
      <w:kern w:val="2"/>
      <w:sz w:val="18"/>
      <w:szCs w:val="18"/>
    </w:rPr>
  </w:style>
  <w:style w:type="character" w:customStyle="1" w:styleId="58">
    <w:name w:val="页脚 Char1"/>
    <w:link w:val="23"/>
    <w:qFormat/>
    <w:uiPriority w:val="0"/>
    <w:rPr>
      <w:sz w:val="18"/>
      <w:szCs w:val="18"/>
    </w:rPr>
  </w:style>
  <w:style w:type="character" w:customStyle="1" w:styleId="59">
    <w:name w:val="页眉 Char"/>
    <w:link w:val="24"/>
    <w:qFormat/>
    <w:uiPriority w:val="99"/>
    <w:rPr>
      <w:sz w:val="18"/>
      <w:szCs w:val="18"/>
    </w:rPr>
  </w:style>
  <w:style w:type="character" w:customStyle="1" w:styleId="60">
    <w:name w:val="HTML 预设格式 Char"/>
    <w:link w:val="30"/>
    <w:qFormat/>
    <w:uiPriority w:val="99"/>
    <w:rPr>
      <w:rFonts w:ascii="Courier New" w:hAnsi="Courier New" w:eastAsia="等线" w:cs="Courier New"/>
      <w:kern w:val="2"/>
    </w:rPr>
  </w:style>
  <w:style w:type="character" w:customStyle="1" w:styleId="61">
    <w:name w:val="批注主题 Char"/>
    <w:link w:val="32"/>
    <w:qFormat/>
    <w:uiPriority w:val="99"/>
  </w:style>
  <w:style w:type="character" w:customStyle="1" w:styleId="62">
    <w:name w:val="正文首行缩进 2 Char"/>
    <w:link w:val="33"/>
    <w:semiHidden/>
    <w:qFormat/>
    <w:uiPriority w:val="99"/>
  </w:style>
  <w:style w:type="character" w:customStyle="1" w:styleId="63">
    <w:name w:val="页脚 字符"/>
    <w:qFormat/>
    <w:uiPriority w:val="99"/>
  </w:style>
  <w:style w:type="character" w:customStyle="1" w:styleId="64">
    <w:name w:val="二级标题 字符"/>
    <w:link w:val="65"/>
    <w:qFormat/>
    <w:uiPriority w:val="0"/>
    <w:rPr>
      <w:rFonts w:ascii="楷体_GB2312" w:hAnsi="华文楷体" w:eastAsia="楷体_GB2312"/>
      <w:bCs/>
      <w:kern w:val="2"/>
      <w:sz w:val="28"/>
      <w:szCs w:val="28"/>
    </w:rPr>
  </w:style>
  <w:style w:type="paragraph" w:customStyle="1" w:styleId="65">
    <w:name w:val="二级标题"/>
    <w:basedOn w:val="1"/>
    <w:link w:val="64"/>
    <w:qFormat/>
    <w:uiPriority w:val="0"/>
    <w:pPr>
      <w:numPr>
        <w:ilvl w:val="1"/>
        <w:numId w:val="2"/>
      </w:numPr>
      <w:jc w:val="left"/>
      <w:outlineLvl w:val="1"/>
    </w:pPr>
    <w:rPr>
      <w:rFonts w:ascii="楷体_GB2312" w:hAnsi="华文楷体" w:eastAsia="楷体_GB2312"/>
      <w:bCs/>
      <w:sz w:val="28"/>
      <w:szCs w:val="28"/>
    </w:rPr>
  </w:style>
  <w:style w:type="character" w:customStyle="1" w:styleId="66">
    <w:name w:val="三级标题 字符"/>
    <w:link w:val="67"/>
    <w:qFormat/>
    <w:uiPriority w:val="0"/>
    <w:rPr>
      <w:rFonts w:ascii="仿宋_GB2312" w:hAnsi="仿宋" w:eastAsia="仿宋_GB2312"/>
      <w:b/>
      <w:kern w:val="2"/>
      <w:sz w:val="28"/>
      <w:szCs w:val="28"/>
    </w:rPr>
  </w:style>
  <w:style w:type="paragraph" w:customStyle="1" w:styleId="67">
    <w:name w:val="三级标题"/>
    <w:basedOn w:val="1"/>
    <w:link w:val="66"/>
    <w:qFormat/>
    <w:uiPriority w:val="0"/>
    <w:pPr>
      <w:numPr>
        <w:ilvl w:val="2"/>
        <w:numId w:val="2"/>
      </w:numPr>
      <w:jc w:val="left"/>
      <w:outlineLvl w:val="2"/>
    </w:pPr>
    <w:rPr>
      <w:rFonts w:ascii="仿宋_GB2312" w:hAnsi="仿宋" w:eastAsia="仿宋_GB2312"/>
      <w:b/>
      <w:sz w:val="28"/>
      <w:szCs w:val="28"/>
    </w:rPr>
  </w:style>
  <w:style w:type="character" w:customStyle="1" w:styleId="68">
    <w:name w:val="一级标题 字符"/>
    <w:link w:val="69"/>
    <w:qFormat/>
    <w:uiPriority w:val="0"/>
    <w:rPr>
      <w:rFonts w:ascii="黑体" w:hAnsi="宋体" w:eastAsia="黑体"/>
      <w:kern w:val="2"/>
      <w:sz w:val="30"/>
      <w:szCs w:val="30"/>
    </w:rPr>
  </w:style>
  <w:style w:type="paragraph" w:customStyle="1" w:styleId="69">
    <w:name w:val="一级标题"/>
    <w:basedOn w:val="1"/>
    <w:link w:val="68"/>
    <w:qFormat/>
    <w:uiPriority w:val="0"/>
    <w:pPr>
      <w:numPr>
        <w:ilvl w:val="0"/>
        <w:numId w:val="2"/>
      </w:numPr>
      <w:jc w:val="left"/>
      <w:outlineLvl w:val="0"/>
    </w:pPr>
    <w:rPr>
      <w:rFonts w:ascii="黑体" w:hAnsi="宋体" w:eastAsia="黑体"/>
      <w:sz w:val="30"/>
      <w:szCs w:val="30"/>
    </w:rPr>
  </w:style>
  <w:style w:type="paragraph" w:customStyle="1" w:styleId="70">
    <w:name w:val=" Char Char Char Char1"/>
    <w:basedOn w:val="1"/>
    <w:qFormat/>
    <w:uiPriority w:val="0"/>
    <w:pPr>
      <w:widowControl/>
      <w:spacing w:after="160" w:afterLines="0" w:line="240" w:lineRule="exact"/>
      <w:jc w:val="left"/>
    </w:pPr>
    <w:rPr>
      <w:rFonts w:ascii="Verdana" w:hAnsi="Verdana" w:eastAsia="仿宋_GB2312"/>
      <w:kern w:val="0"/>
      <w:sz w:val="24"/>
      <w:szCs w:val="20"/>
      <w:lang w:eastAsia="en-US"/>
    </w:rPr>
  </w:style>
  <w:style w:type="paragraph" w:styleId="71">
    <w:name w:val="List Paragraph"/>
    <w:basedOn w:val="1"/>
    <w:link w:val="72"/>
    <w:qFormat/>
    <w:uiPriority w:val="34"/>
    <w:pPr>
      <w:ind w:firstLine="420" w:firstLineChars="200"/>
    </w:pPr>
  </w:style>
  <w:style w:type="character" w:customStyle="1" w:styleId="72">
    <w:name w:val="列出段落 Char"/>
    <w:link w:val="71"/>
    <w:qFormat/>
    <w:uiPriority w:val="34"/>
    <w:rPr>
      <w:kern w:val="2"/>
      <w:sz w:val="21"/>
      <w:szCs w:val="22"/>
    </w:rPr>
  </w:style>
  <w:style w:type="paragraph" w:customStyle="1" w:styleId="73">
    <w:name w:val="正文-方案"/>
    <w:basedOn w:val="15"/>
    <w:link w:val="74"/>
    <w:qFormat/>
    <w:uiPriority w:val="0"/>
    <w:pPr>
      <w:ind w:firstLine="560"/>
    </w:pPr>
    <w:rPr>
      <w:rFonts w:ascii="Times New Roman" w:hAnsi="Times New Roman"/>
    </w:rPr>
  </w:style>
  <w:style w:type="character" w:customStyle="1" w:styleId="74">
    <w:name w:val="正文-方案 字符"/>
    <w:link w:val="73"/>
    <w:qFormat/>
    <w:uiPriority w:val="0"/>
    <w:rPr>
      <w:kern w:val="2"/>
      <w:sz w:val="24"/>
      <w:szCs w:val="22"/>
    </w:rPr>
  </w:style>
  <w:style w:type="paragraph" w:customStyle="1" w:styleId="75">
    <w:name w:val="封面项目名称"/>
    <w:qFormat/>
    <w:uiPriority w:val="0"/>
    <w:pPr>
      <w:jc w:val="center"/>
    </w:pPr>
    <w:rPr>
      <w:rFonts w:ascii="Times New Roman" w:hAnsi="Times New Roman" w:eastAsia="宋体" w:cs="Times New Roman"/>
      <w:b/>
      <w:sz w:val="48"/>
      <w:lang w:val="en-US" w:eastAsia="zh-CN" w:bidi="ar-SA"/>
    </w:rPr>
  </w:style>
  <w:style w:type="paragraph" w:customStyle="1" w:styleId="76">
    <w:name w:val="封面项目立项方案"/>
    <w:qFormat/>
    <w:uiPriority w:val="0"/>
    <w:pPr>
      <w:spacing w:before="964" w:after="1304"/>
      <w:jc w:val="center"/>
    </w:pPr>
    <w:rPr>
      <w:rFonts w:ascii="Times New Roman" w:hAnsi="Times New Roman" w:eastAsia="黑体" w:cs="Times New Roman"/>
      <w:sz w:val="72"/>
      <w:lang w:val="en-US" w:eastAsia="zh-CN" w:bidi="ar-SA"/>
    </w:rPr>
  </w:style>
  <w:style w:type="paragraph" w:customStyle="1" w:styleId="77">
    <w:name w:val="封面单位"/>
    <w:qFormat/>
    <w:uiPriority w:val="0"/>
    <w:rPr>
      <w:rFonts w:ascii="Times New Roman" w:hAnsi="Times New Roman" w:eastAsia="宋体" w:cs="Times New Roman"/>
      <w:b/>
      <w:sz w:val="32"/>
      <w:lang w:val="en-US" w:eastAsia="zh-CN" w:bidi="ar-SA"/>
    </w:rPr>
  </w:style>
  <w:style w:type="paragraph" w:customStyle="1" w:styleId="78">
    <w:name w:val="封面项目编号"/>
    <w:qFormat/>
    <w:uiPriority w:val="0"/>
    <w:pPr>
      <w:spacing w:after="2835"/>
    </w:pPr>
    <w:rPr>
      <w:rFonts w:ascii="Calibri" w:hAnsi="Calibri" w:eastAsia="黑体" w:cs="Times New Roman"/>
      <w:sz w:val="28"/>
      <w:lang w:val="en-US" w:eastAsia="zh-CN" w:bidi="ar-SA"/>
    </w:rPr>
  </w:style>
  <w:style w:type="paragraph" w:customStyle="1" w:styleId="79">
    <w:name w:val="封面日期"/>
    <w:qFormat/>
    <w:uiPriority w:val="0"/>
    <w:pPr>
      <w:jc w:val="center"/>
    </w:pPr>
    <w:rPr>
      <w:rFonts w:ascii="Calibri" w:hAnsi="Calibri" w:eastAsia="宋体" w:cs="Times New Roman"/>
      <w:sz w:val="32"/>
      <w:lang w:val="en-US" w:eastAsia="zh-CN" w:bidi="ar-SA"/>
    </w:rPr>
  </w:style>
  <w:style w:type="paragraph" w:customStyle="1" w:styleId="80">
    <w:name w:val="段落普通"/>
    <w:basedOn w:val="1"/>
    <w:qFormat/>
    <w:uiPriority w:val="0"/>
    <w:pPr>
      <w:spacing w:line="360" w:lineRule="auto"/>
      <w:ind w:firstLine="200" w:firstLineChars="200"/>
    </w:pPr>
    <w:rPr>
      <w:sz w:val="24"/>
      <w:szCs w:val="24"/>
    </w:rPr>
  </w:style>
  <w:style w:type="paragraph" w:customStyle="1" w:styleId="81">
    <w:name w:val="正文表"/>
    <w:basedOn w:val="1"/>
    <w:qFormat/>
    <w:uiPriority w:val="0"/>
    <w:pPr>
      <w:spacing w:line="320" w:lineRule="exact"/>
      <w:jc w:val="center"/>
    </w:pPr>
    <w:rPr>
      <w:sz w:val="28"/>
      <w:szCs w:val="28"/>
    </w:rPr>
  </w:style>
  <w:style w:type="paragraph" w:customStyle="1" w:styleId="82">
    <w:name w:val="章"/>
    <w:qFormat/>
    <w:uiPriority w:val="0"/>
    <w:pPr>
      <w:spacing w:before="100" w:beforeLines="100" w:after="100" w:afterLines="100"/>
      <w:jc w:val="center"/>
    </w:pPr>
    <w:rPr>
      <w:rFonts w:ascii="Times New Roman" w:hAnsi="Times New Roman" w:eastAsia="黑体" w:cs="Times New Roman"/>
      <w:sz w:val="44"/>
      <w:lang w:val="en-US" w:eastAsia="zh-CN" w:bidi="ar-SA"/>
    </w:rPr>
  </w:style>
  <w:style w:type="paragraph" w:customStyle="1" w:styleId="83">
    <w:name w:val="第一级节"/>
    <w:qFormat/>
    <w:uiPriority w:val="0"/>
    <w:pPr>
      <w:spacing w:before="50" w:beforeLines="50" w:after="50" w:afterLines="50"/>
    </w:pPr>
    <w:rPr>
      <w:rFonts w:ascii="Times New Roman" w:hAnsi="Times New Roman" w:eastAsia="黑体" w:cs="Times New Roman"/>
      <w:sz w:val="32"/>
      <w:lang w:val="en-US" w:eastAsia="zh-CN" w:bidi="ar-SA"/>
    </w:rPr>
  </w:style>
  <w:style w:type="paragraph" w:customStyle="1" w:styleId="84">
    <w:name w:val="第二级节"/>
    <w:qFormat/>
    <w:uiPriority w:val="0"/>
    <w:pPr>
      <w:spacing w:before="50" w:beforeLines="50" w:after="50" w:afterLines="50"/>
    </w:pPr>
    <w:rPr>
      <w:rFonts w:ascii="Times New Roman" w:hAnsi="Times New Roman" w:eastAsia="黑体" w:cs="Times New Roman"/>
      <w:sz w:val="30"/>
      <w:lang w:val="en-US" w:eastAsia="zh-CN" w:bidi="ar-SA"/>
    </w:rPr>
  </w:style>
  <w:style w:type="paragraph" w:customStyle="1" w:styleId="85">
    <w:name w:val="封面附件名称"/>
    <w:qFormat/>
    <w:uiPriority w:val="0"/>
    <w:pPr>
      <w:snapToGrid w:val="0"/>
      <w:jc w:val="center"/>
    </w:pPr>
    <w:rPr>
      <w:rFonts w:ascii="Calibri" w:hAnsi="Calibri" w:eastAsia="黑体" w:cs="Times New Roman"/>
      <w:sz w:val="36"/>
      <w:lang w:val="en-US" w:eastAsia="zh-CN" w:bidi="ar-SA"/>
    </w:rPr>
  </w:style>
  <w:style w:type="paragraph" w:customStyle="1" w:styleId="86">
    <w:name w:val="封面单位名称"/>
    <w:basedOn w:val="77"/>
    <w:qFormat/>
    <w:uiPriority w:val="0"/>
    <w:rPr>
      <w:b w:val="0"/>
    </w:rPr>
  </w:style>
  <w:style w:type="paragraph" w:customStyle="1" w:styleId="87">
    <w:name w:val="前言"/>
    <w:qFormat/>
    <w:uiPriority w:val="0"/>
    <w:pPr>
      <w:spacing w:before="200" w:beforeLines="200" w:after="100" w:afterLines="100"/>
      <w:jc w:val="center"/>
    </w:pPr>
    <w:rPr>
      <w:rFonts w:ascii="Times New Roman" w:hAnsi="Times New Roman" w:eastAsia="黑体" w:cs="Times New Roman"/>
      <w:sz w:val="44"/>
      <w:lang w:val="en-US" w:eastAsia="zh-CN" w:bidi="ar-SA"/>
    </w:rPr>
  </w:style>
  <w:style w:type="paragraph" w:customStyle="1" w:styleId="88">
    <w:name w:val="WPSOffice手动目录 1"/>
    <w:qFormat/>
    <w:uiPriority w:val="0"/>
    <w:rPr>
      <w:rFonts w:ascii="Times New Roman" w:hAnsi="Times New Roman" w:eastAsia="宋体" w:cs="Times New Roman"/>
      <w:lang w:val="en-US" w:eastAsia="zh-CN" w:bidi="ar-SA"/>
    </w:rPr>
  </w:style>
  <w:style w:type="paragraph" w:customStyle="1" w:styleId="89">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90">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91">
    <w:name w:val="正文-段落"/>
    <w:qFormat/>
    <w:uiPriority w:val="0"/>
    <w:pPr>
      <w:spacing w:line="360" w:lineRule="auto"/>
      <w:ind w:firstLine="200" w:firstLineChars="200"/>
    </w:pPr>
    <w:rPr>
      <w:rFonts w:ascii="Times New Roman" w:hAnsi="Times New Roman" w:eastAsia="宋体" w:cs="宋体"/>
      <w:sz w:val="24"/>
      <w:szCs w:val="24"/>
      <w:lang w:val="en-GB" w:eastAsia="zh-CN" w:bidi="ar-SA"/>
    </w:rPr>
  </w:style>
  <w:style w:type="paragraph" w:customStyle="1" w:styleId="92">
    <w:name w:val="subtitle 2"/>
    <w:basedOn w:val="1"/>
    <w:qFormat/>
    <w:uiPriority w:val="0"/>
    <w:pPr>
      <w:spacing w:before="240" w:after="240" w:line="312" w:lineRule="atLeast"/>
    </w:pPr>
    <w:rPr>
      <w:rFonts w:eastAsia="Times New Roman"/>
      <w:snapToGrid w:val="0"/>
      <w:kern w:val="0"/>
      <w:sz w:val="24"/>
      <w:szCs w:val="20"/>
      <w:lang w:eastAsia="en-US"/>
    </w:rPr>
  </w:style>
  <w:style w:type="character" w:customStyle="1" w:styleId="93">
    <w:name w:val="科技正文 Char Char"/>
    <w:link w:val="94"/>
    <w:qFormat/>
    <w:uiPriority w:val="0"/>
    <w:rPr>
      <w:rFonts w:ascii="宋体" w:hAnsi="宋体" w:eastAsia="Times New Roman" w:cs="Arial"/>
      <w:sz w:val="30"/>
      <w:szCs w:val="28"/>
    </w:rPr>
  </w:style>
  <w:style w:type="paragraph" w:customStyle="1" w:styleId="94">
    <w:name w:val="科技正文"/>
    <w:basedOn w:val="1"/>
    <w:link w:val="93"/>
    <w:qFormat/>
    <w:uiPriority w:val="0"/>
    <w:pPr>
      <w:tabs>
        <w:tab w:val="left" w:pos="491"/>
        <w:tab w:val="left" w:pos="2700"/>
        <w:tab w:val="left" w:pos="4860"/>
        <w:tab w:val="right" w:pos="9000"/>
      </w:tabs>
      <w:adjustRightInd w:val="0"/>
      <w:spacing w:line="360" w:lineRule="auto"/>
      <w:ind w:firstLine="601"/>
      <w:textAlignment w:val="baseline"/>
    </w:pPr>
    <w:rPr>
      <w:rFonts w:ascii="宋体" w:hAnsi="宋体" w:eastAsia="Times New Roman"/>
      <w:kern w:val="0"/>
      <w:sz w:val="30"/>
      <w:szCs w:val="28"/>
    </w:rPr>
  </w:style>
  <w:style w:type="paragraph" w:customStyle="1" w:styleId="95">
    <w:name w:val="表格"/>
    <w:basedOn w:val="1"/>
    <w:qFormat/>
    <w:uiPriority w:val="0"/>
    <w:pPr>
      <w:widowControl/>
      <w:spacing w:line="360" w:lineRule="auto"/>
    </w:pPr>
    <w:rPr>
      <w:rFonts w:ascii="宋体" w:hAnsi="宋体" w:eastAsia="仿宋"/>
      <w:kern w:val="0"/>
      <w:sz w:val="28"/>
      <w:szCs w:val="21"/>
      <w:lang w:val="en-GB"/>
    </w:rPr>
  </w:style>
  <w:style w:type="paragraph" w:customStyle="1" w:styleId="96">
    <w:name w:val="列表段落1"/>
    <w:basedOn w:val="1"/>
    <w:qFormat/>
    <w:uiPriority w:val="99"/>
    <w:pPr>
      <w:ind w:firstLine="420" w:firstLineChars="200"/>
    </w:pPr>
    <w:rPr>
      <w:sz w:val="28"/>
      <w:szCs w:val="24"/>
    </w:rPr>
  </w:style>
  <w:style w:type="paragraph" w:customStyle="1" w:styleId="97">
    <w:name w:val="TOC 标题1"/>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paragraph" w:customStyle="1" w:styleId="98">
    <w:name w:val="lev1"/>
    <w:qFormat/>
    <w:uiPriority w:val="0"/>
    <w:pPr>
      <w:numPr>
        <w:ilvl w:val="0"/>
        <w:numId w:val="3"/>
      </w:numPr>
      <w:spacing w:line="360" w:lineRule="auto"/>
      <w:outlineLvl w:val="0"/>
    </w:pPr>
    <w:rPr>
      <w:rFonts w:ascii="黑体" w:hAnsi="黑体" w:eastAsia="黑体" w:cs="Times New Roman"/>
      <w:b/>
      <w:kern w:val="2"/>
      <w:sz w:val="28"/>
      <w:szCs w:val="24"/>
      <w:lang w:val="en-US" w:eastAsia="zh-CN" w:bidi="ar-SA"/>
    </w:rPr>
  </w:style>
  <w:style w:type="paragraph" w:customStyle="1" w:styleId="99">
    <w:name w:val="lev2"/>
    <w:link w:val="100"/>
    <w:qFormat/>
    <w:uiPriority w:val="0"/>
    <w:pPr>
      <w:spacing w:line="360" w:lineRule="auto"/>
      <w:ind w:left="567" w:hanging="567"/>
      <w:outlineLvl w:val="1"/>
    </w:pPr>
    <w:rPr>
      <w:rFonts w:ascii="Calibri" w:hAnsi="Calibri" w:eastAsia="宋体" w:cs="Times New Roman"/>
      <w:b/>
      <w:kern w:val="2"/>
      <w:sz w:val="24"/>
      <w:szCs w:val="24"/>
      <w:lang w:bidi="ar-SA"/>
    </w:rPr>
  </w:style>
  <w:style w:type="character" w:customStyle="1" w:styleId="100">
    <w:name w:val="lev2 Char"/>
    <w:link w:val="99"/>
    <w:qFormat/>
    <w:locked/>
    <w:uiPriority w:val="0"/>
    <w:rPr>
      <w:rFonts w:ascii="Calibri" w:hAnsi="Calibri"/>
      <w:b/>
      <w:kern w:val="2"/>
      <w:sz w:val="24"/>
      <w:szCs w:val="24"/>
      <w:lang w:bidi="ar-SA"/>
    </w:rPr>
  </w:style>
  <w:style w:type="paragraph" w:customStyle="1" w:styleId="101">
    <w:name w:val="lev3"/>
    <w:qFormat/>
    <w:uiPriority w:val="0"/>
    <w:pPr>
      <w:spacing w:line="360" w:lineRule="auto"/>
      <w:ind w:left="993" w:hanging="709"/>
      <w:outlineLvl w:val="2"/>
    </w:pPr>
    <w:rPr>
      <w:rFonts w:ascii="Calibri" w:hAnsi="Calibri" w:eastAsia="宋体" w:cs="Times New Roman"/>
      <w:b/>
      <w:kern w:val="2"/>
      <w:sz w:val="24"/>
      <w:szCs w:val="24"/>
      <w:lang w:val="en-US" w:eastAsia="zh-CN" w:bidi="ar-SA"/>
    </w:rPr>
  </w:style>
  <w:style w:type="paragraph" w:customStyle="1" w:styleId="102">
    <w:name w:val="无间隔1"/>
    <w:basedOn w:val="1"/>
    <w:qFormat/>
    <w:uiPriority w:val="1"/>
    <w:pPr>
      <w:widowControl/>
      <w:spacing w:line="360" w:lineRule="auto"/>
      <w:ind w:left="424" w:leftChars="202" w:firstLine="424" w:firstLineChars="202"/>
      <w:jc w:val="left"/>
    </w:pPr>
    <w:rPr>
      <w:rFonts w:ascii="微软雅黑" w:hAnsi="微软雅黑" w:eastAsia="微软雅黑"/>
      <w:sz w:val="28"/>
    </w:rPr>
  </w:style>
  <w:style w:type="paragraph" w:customStyle="1" w:styleId="103">
    <w:name w:val="列表段落2"/>
    <w:basedOn w:val="1"/>
    <w:qFormat/>
    <w:uiPriority w:val="99"/>
    <w:pPr>
      <w:ind w:firstLine="420" w:firstLineChars="200"/>
    </w:pPr>
    <w:rPr>
      <w:sz w:val="28"/>
      <w:szCs w:val="24"/>
    </w:rPr>
  </w:style>
  <w:style w:type="paragraph" w:customStyle="1" w:styleId="104">
    <w:name w:val="_Style 43"/>
    <w:basedOn w:val="1"/>
    <w:next w:val="103"/>
    <w:qFormat/>
    <w:uiPriority w:val="34"/>
    <w:pPr>
      <w:ind w:firstLine="420" w:firstLineChars="200"/>
    </w:pPr>
    <w:rPr>
      <w:sz w:val="28"/>
      <w:szCs w:val="24"/>
    </w:rPr>
  </w:style>
  <w:style w:type="paragraph" w:customStyle="1" w:styleId="105">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06">
    <w:name w:val="列表段落3"/>
    <w:basedOn w:val="1"/>
    <w:qFormat/>
    <w:uiPriority w:val="99"/>
    <w:pPr>
      <w:ind w:firstLine="420" w:firstLineChars="200"/>
    </w:pPr>
    <w:rPr>
      <w:sz w:val="28"/>
      <w:szCs w:val="24"/>
    </w:rPr>
  </w:style>
  <w:style w:type="paragraph" w:customStyle="1" w:styleId="107">
    <w:name w:val="TOC 标题2"/>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character" w:customStyle="1" w:styleId="108">
    <w:name w:val="未处理的提及1"/>
    <w:unhideWhenUsed/>
    <w:qFormat/>
    <w:uiPriority w:val="99"/>
    <w:rPr>
      <w:color w:val="605E5C"/>
      <w:shd w:val="clear" w:color="auto" w:fill="E1DFDD"/>
    </w:rPr>
  </w:style>
  <w:style w:type="paragraph" w:customStyle="1" w:styleId="109">
    <w:name w:val="列出段落1"/>
    <w:basedOn w:val="1"/>
    <w:qFormat/>
    <w:uiPriority w:val="99"/>
    <w:pPr>
      <w:ind w:firstLine="420" w:firstLineChars="200"/>
    </w:pPr>
    <w:rPr>
      <w:rFonts w:ascii="等线" w:hAnsi="等线" w:eastAsia="等线"/>
      <w:sz w:val="28"/>
      <w:szCs w:val="24"/>
    </w:rPr>
  </w:style>
  <w:style w:type="paragraph" w:customStyle="1" w:styleId="110">
    <w:name w:val="TOC 标题3"/>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character" w:customStyle="1" w:styleId="111">
    <w:name w:val="页脚 Char"/>
    <w:qFormat/>
    <w:uiPriority w:val="0"/>
    <w:rPr>
      <w:kern w:val="2"/>
      <w:sz w:val="18"/>
      <w:szCs w:val="18"/>
    </w:rPr>
  </w:style>
  <w:style w:type="paragraph" w:customStyle="1" w:styleId="112">
    <w:name w:val="列出段落2"/>
    <w:basedOn w:val="1"/>
    <w:qFormat/>
    <w:uiPriority w:val="99"/>
    <w:pPr>
      <w:ind w:firstLine="420" w:firstLineChars="200"/>
    </w:pPr>
    <w:rPr>
      <w:sz w:val="28"/>
      <w:szCs w:val="28"/>
    </w:rPr>
  </w:style>
  <w:style w:type="paragraph" w:customStyle="1" w:styleId="113">
    <w:name w:val="msonormal"/>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14">
    <w:name w:val="font5"/>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115">
    <w:name w:val="xl65"/>
    <w:basedOn w:val="1"/>
    <w:qFormat/>
    <w:uiPriority w:val="0"/>
    <w:pPr>
      <w:widowControl/>
      <w:pBdr>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16">
    <w:name w:val="xl66"/>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b/>
      <w:bCs/>
      <w:color w:val="000000"/>
      <w:kern w:val="0"/>
      <w:sz w:val="28"/>
      <w:szCs w:val="21"/>
    </w:rPr>
  </w:style>
  <w:style w:type="paragraph" w:customStyle="1" w:styleId="117">
    <w:name w:val="xl67"/>
    <w:basedOn w:val="1"/>
    <w:qFormat/>
    <w:uiPriority w:val="0"/>
    <w:pPr>
      <w:widowControl/>
      <w:pBdr>
        <w:top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b/>
      <w:bCs/>
      <w:color w:val="000000"/>
      <w:kern w:val="0"/>
      <w:sz w:val="28"/>
      <w:szCs w:val="21"/>
    </w:rPr>
  </w:style>
  <w:style w:type="paragraph" w:customStyle="1" w:styleId="118">
    <w:name w:val="xl68"/>
    <w:basedOn w:val="1"/>
    <w:qFormat/>
    <w:uiPriority w:val="0"/>
    <w:pPr>
      <w:widowControl/>
      <w:pBdr>
        <w:bottom w:val="single" w:color="auto" w:sz="8" w:space="0"/>
        <w:right w:val="single" w:color="auto" w:sz="8" w:space="0"/>
      </w:pBdr>
      <w:spacing w:before="100" w:beforeAutospacing="1" w:after="100" w:afterAutospacing="1"/>
      <w:textAlignment w:val="center"/>
    </w:pPr>
    <w:rPr>
      <w:rFonts w:ascii="宋体" w:hAnsi="宋体" w:cs="宋体"/>
      <w:color w:val="000000"/>
      <w:kern w:val="0"/>
      <w:sz w:val="28"/>
      <w:szCs w:val="21"/>
    </w:rPr>
  </w:style>
  <w:style w:type="paragraph" w:customStyle="1" w:styleId="119">
    <w:name w:val="xl69"/>
    <w:basedOn w:val="1"/>
    <w:qFormat/>
    <w:uiPriority w:val="0"/>
    <w:pPr>
      <w:widowControl/>
      <w:pBdr>
        <w:bottom w:val="single" w:color="auto" w:sz="8" w:space="0"/>
        <w:right w:val="single" w:color="auto" w:sz="8" w:space="0"/>
      </w:pBdr>
      <w:spacing w:before="100" w:beforeAutospacing="1" w:after="100" w:afterAutospacing="1"/>
      <w:jc w:val="left"/>
      <w:textAlignment w:val="center"/>
    </w:pPr>
    <w:rPr>
      <w:rFonts w:ascii="宋体" w:hAnsi="宋体" w:cs="宋体"/>
      <w:color w:val="000000"/>
      <w:kern w:val="0"/>
      <w:sz w:val="28"/>
      <w:szCs w:val="21"/>
    </w:rPr>
  </w:style>
  <w:style w:type="paragraph" w:customStyle="1" w:styleId="120">
    <w:name w:val="xl70"/>
    <w:basedOn w:val="1"/>
    <w:qFormat/>
    <w:uiPriority w:val="0"/>
    <w:pPr>
      <w:widowControl/>
      <w:pBdr>
        <w:left w:val="single" w:color="auto" w:sz="8" w:space="0"/>
        <w:bottom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21">
    <w:name w:val="xl71"/>
    <w:basedOn w:val="1"/>
    <w:qFormat/>
    <w:uiPriority w:val="0"/>
    <w:pPr>
      <w:widowControl/>
      <w:pBdr>
        <w:left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22">
    <w:name w:val="xl72"/>
    <w:basedOn w:val="1"/>
    <w:qFormat/>
    <w:uiPriority w:val="0"/>
    <w:pPr>
      <w:widowControl/>
      <w:pBdr>
        <w:top w:val="single" w:color="auto" w:sz="8" w:space="0"/>
        <w:left w:val="single" w:color="auto" w:sz="8" w:space="0"/>
        <w:right w:val="single" w:color="auto" w:sz="8" w:space="0"/>
      </w:pBdr>
      <w:spacing w:before="100" w:beforeAutospacing="1" w:after="100" w:afterAutospacing="1"/>
      <w:jc w:val="center"/>
      <w:textAlignment w:val="center"/>
    </w:pPr>
    <w:rPr>
      <w:rFonts w:ascii="宋体" w:hAnsi="宋体" w:cs="宋体"/>
      <w:color w:val="000000"/>
      <w:kern w:val="0"/>
      <w:sz w:val="28"/>
      <w:szCs w:val="21"/>
    </w:rPr>
  </w:style>
  <w:style w:type="paragraph" w:customStyle="1" w:styleId="123">
    <w:name w:val="*正文"/>
    <w:basedOn w:val="1"/>
    <w:qFormat/>
    <w:uiPriority w:val="0"/>
    <w:pPr>
      <w:tabs>
        <w:tab w:val="left" w:pos="0"/>
      </w:tabs>
      <w:snapToGrid w:val="0"/>
      <w:spacing w:line="288" w:lineRule="auto"/>
      <w:ind w:firstLine="200" w:firstLineChars="200"/>
    </w:pPr>
    <w:rPr>
      <w:rFonts w:cs="宋体"/>
      <w:kern w:val="0"/>
      <w:sz w:val="28"/>
      <w:szCs w:val="28"/>
    </w:rPr>
  </w:style>
  <w:style w:type="paragraph" w:customStyle="1" w:styleId="124">
    <w:name w:val="TOC 标题4"/>
    <w:basedOn w:val="2"/>
    <w:next w:val="1"/>
    <w:unhideWhenUsed/>
    <w:qFormat/>
    <w:uiPriority w:val="39"/>
    <w:pPr>
      <w:widowControl/>
      <w:spacing w:before="240" w:after="0" w:line="259" w:lineRule="auto"/>
      <w:jc w:val="left"/>
      <w:outlineLvl w:val="9"/>
    </w:pPr>
    <w:rPr>
      <w:rFonts w:ascii="等线 Light" w:hAnsi="等线 Light" w:eastAsia="等线 Light"/>
      <w:bCs w:val="0"/>
      <w:color w:val="2E75B5"/>
      <w:kern w:val="0"/>
      <w:sz w:val="32"/>
      <w:szCs w:val="32"/>
    </w:rPr>
  </w:style>
  <w:style w:type="paragraph" w:customStyle="1" w:styleId="125">
    <w:name w:val="List Paragraph1"/>
    <w:basedOn w:val="1"/>
    <w:qFormat/>
    <w:uiPriority w:val="99"/>
    <w:pPr>
      <w:ind w:firstLine="420"/>
    </w:pPr>
    <w:rPr>
      <w:sz w:val="28"/>
      <w:szCs w:val="24"/>
    </w:rPr>
  </w:style>
  <w:style w:type="paragraph" w:customStyle="1" w:styleId="126">
    <w:name w:val="_Style 125"/>
    <w:basedOn w:val="2"/>
    <w:next w:val="1"/>
    <w:qFormat/>
    <w:uiPriority w:val="39"/>
    <w:pPr>
      <w:widowControl/>
      <w:numPr>
        <w:ilvl w:val="0"/>
        <w:numId w:val="0"/>
      </w:numPr>
      <w:adjustRightInd/>
      <w:spacing w:before="240" w:beforeLines="0" w:after="0" w:afterLines="0" w:line="259" w:lineRule="auto"/>
      <w:jc w:val="left"/>
      <w:outlineLvl w:val="9"/>
    </w:pPr>
    <w:rPr>
      <w:rFonts w:ascii="等线 Light" w:hAnsi="等线 Light" w:eastAsia="等线 Light"/>
      <w:bCs w:val="0"/>
      <w:color w:val="2F5496"/>
      <w:kern w:val="0"/>
      <w:sz w:val="32"/>
      <w:szCs w:val="32"/>
    </w:rPr>
  </w:style>
  <w:style w:type="paragraph" w:customStyle="1" w:styleId="127">
    <w:name w:val="标题5"/>
    <w:next w:val="1"/>
    <w:qFormat/>
    <w:uiPriority w:val="0"/>
    <w:pPr>
      <w:keepNext/>
      <w:keepLines/>
      <w:widowControl w:val="0"/>
      <w:spacing w:line="560" w:lineRule="exact"/>
      <w:ind w:firstLine="640" w:firstLineChars="200"/>
      <w:outlineLvl w:val="3"/>
    </w:pPr>
    <w:rPr>
      <w:rFonts w:ascii="Times New Roman" w:hAnsi="Times New Roman" w:eastAsia="仿宋_GB2312" w:cs="Times New Roman"/>
      <w:kern w:val="2"/>
      <w:sz w:val="32"/>
      <w:szCs w:val="24"/>
      <w:lang w:val="en-US" w:eastAsia="zh-CN" w:bidi="ar-SA"/>
    </w:rPr>
  </w:style>
  <w:style w:type="paragraph" w:customStyle="1" w:styleId="128">
    <w:name w:val="文档正文"/>
    <w:basedOn w:val="1"/>
    <w:qFormat/>
    <w:uiPriority w:val="0"/>
    <w:pPr>
      <w:ind w:firstLine="200" w:firstLineChars="200"/>
    </w:pPr>
    <w:rPr>
      <w:rFonts w:cs="宋体"/>
      <w:sz w:val="28"/>
      <w:szCs w:val="21"/>
    </w:rPr>
  </w:style>
  <w:style w:type="paragraph" w:customStyle="1" w:styleId="129">
    <w:name w:val="_Style 128"/>
    <w:unhideWhenUsed/>
    <w:uiPriority w:val="99"/>
    <w:rPr>
      <w:rFonts w:ascii="Times New Roman" w:hAnsi="Times New Roman" w:eastAsia="宋体" w:cs="Times New Roman"/>
      <w:kern w:val="2"/>
      <w:sz w:val="28"/>
      <w:szCs w:val="24"/>
      <w:lang w:val="en-US" w:eastAsia="zh-CN" w:bidi="ar-SA"/>
    </w:rPr>
  </w:style>
  <w:style w:type="paragraph" w:customStyle="1" w:styleId="130">
    <w:name w:val="方案正文"/>
    <w:basedOn w:val="1"/>
    <w:link w:val="131"/>
    <w:qFormat/>
    <w:uiPriority w:val="0"/>
    <w:pPr>
      <w:ind w:firstLine="200" w:firstLineChars="200"/>
    </w:pPr>
    <w:rPr>
      <w:sz w:val="28"/>
    </w:rPr>
  </w:style>
  <w:style w:type="character" w:customStyle="1" w:styleId="131">
    <w:name w:val="方案正文 字符"/>
    <w:link w:val="130"/>
    <w:qFormat/>
    <w:uiPriority w:val="0"/>
    <w:rPr>
      <w:kern w:val="2"/>
      <w:sz w:val="28"/>
      <w:szCs w:val="22"/>
    </w:rPr>
  </w:style>
  <w:style w:type="character" w:customStyle="1" w:styleId="132">
    <w:name w:val="未处理的提及"/>
    <w:unhideWhenUsed/>
    <w:uiPriority w:val="99"/>
    <w:rPr>
      <w:color w:val="605E5C"/>
      <w:shd w:val="clear" w:color="auto" w:fill="E1DFDD"/>
    </w:rPr>
  </w:style>
  <w:style w:type="paragraph" w:customStyle="1" w:styleId="133">
    <w:name w:val="!正文"/>
    <w:basedOn w:val="30"/>
    <w:link w:val="134"/>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1" w:firstLineChars="200"/>
      <w:jc w:val="left"/>
    </w:pPr>
    <w:rPr>
      <w:rFonts w:ascii="宋体" w:hAnsi="宋体"/>
      <w:kern w:val="0"/>
      <w:sz w:val="24"/>
      <w:szCs w:val="24"/>
    </w:rPr>
  </w:style>
  <w:style w:type="character" w:customStyle="1" w:styleId="134">
    <w:name w:val="!正文 Char"/>
    <w:link w:val="133"/>
    <w:qFormat/>
    <w:uiPriority w:val="0"/>
    <w:rPr>
      <w:rFonts w:ascii="宋体" w:hAnsi="宋体" w:eastAsia="等线"/>
      <w:sz w:val="24"/>
      <w:szCs w:val="24"/>
    </w:rPr>
  </w:style>
  <w:style w:type="paragraph" w:customStyle="1" w:styleId="135">
    <w:name w:val="font6"/>
    <w:basedOn w:val="1"/>
    <w:qFormat/>
    <w:uiPriority w:val="0"/>
    <w:pPr>
      <w:widowControl/>
      <w:spacing w:before="100" w:beforeAutospacing="1" w:after="100" w:afterAutospacing="1"/>
      <w:jc w:val="left"/>
    </w:pPr>
    <w:rPr>
      <w:rFonts w:ascii="等线" w:hAnsi="等线" w:eastAsia="等线" w:cs="宋体"/>
      <w:kern w:val="0"/>
      <w:sz w:val="18"/>
      <w:szCs w:val="18"/>
    </w:rPr>
  </w:style>
  <w:style w:type="paragraph" w:customStyle="1" w:styleId="136">
    <w:name w:val="xl64"/>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37">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38">
    <w:name w:val="xl74"/>
    <w:basedOn w:val="1"/>
    <w:qFormat/>
    <w:uiPriority w:val="0"/>
    <w:pPr>
      <w:widowControl/>
      <w:pBdr>
        <w:top w:val="single" w:color="auto" w:sz="4" w:space="0"/>
        <w:left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39">
    <w:name w:val="xl7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0">
    <w:name w:val="xl76"/>
    <w:basedOn w:val="1"/>
    <w:uiPriority w:val="0"/>
    <w:pPr>
      <w:widowControl/>
      <w:pBdr>
        <w:top w:val="single" w:color="auto" w:sz="4" w:space="0"/>
        <w:left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1">
    <w:name w:val="xl77"/>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42">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3">
    <w:name w:val="xl79"/>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44">
    <w:name w:val="xl80"/>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45">
    <w:name w:val="xl81"/>
    <w:basedOn w:val="1"/>
    <w:uiPriority w:val="0"/>
    <w:pPr>
      <w:widowControl/>
      <w:pBdr>
        <w:top w:val="single" w:color="auto" w:sz="4" w:space="0"/>
        <w:left w:val="single" w:color="auto" w:sz="4" w:space="0"/>
        <w:bottom w:val="single" w:color="auto" w:sz="4" w:space="0"/>
        <w:right w:val="single" w:color="auto" w:sz="4" w:space="0"/>
      </w:pBdr>
      <w:shd w:val="clear" w:color="000000" w:fill="D9D9D9"/>
      <w:spacing w:before="100" w:beforeAutospacing="1" w:after="100" w:afterAutospacing="1"/>
      <w:jc w:val="center"/>
    </w:pPr>
    <w:rPr>
      <w:rFonts w:ascii="宋体" w:hAnsi="宋体" w:cs="宋体"/>
      <w:b/>
      <w:bCs/>
      <w:kern w:val="0"/>
      <w:sz w:val="20"/>
      <w:szCs w:val="20"/>
    </w:rPr>
  </w:style>
  <w:style w:type="paragraph" w:customStyle="1" w:styleId="146">
    <w:name w:val="xl8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47">
    <w:name w:val="xl83"/>
    <w:basedOn w:val="1"/>
    <w:uiPriority w:val="0"/>
    <w:pPr>
      <w:widowControl/>
      <w:pBdr>
        <w:top w:val="single" w:color="auto" w:sz="4" w:space="0"/>
        <w:left w:val="single" w:color="auto" w:sz="4" w:space="0"/>
        <w:right w:val="single" w:color="auto" w:sz="4" w:space="0"/>
      </w:pBdr>
      <w:spacing w:before="100" w:beforeAutospacing="1" w:after="100" w:afterAutospacing="1"/>
    </w:pPr>
    <w:rPr>
      <w:rFonts w:ascii="宋体" w:hAnsi="宋体" w:cs="宋体"/>
      <w:kern w:val="0"/>
      <w:sz w:val="20"/>
      <w:szCs w:val="20"/>
    </w:rPr>
  </w:style>
  <w:style w:type="paragraph" w:customStyle="1" w:styleId="1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宋体" w:hAnsi="宋体" w:cs="宋体"/>
      <w:kern w:val="0"/>
      <w:sz w:val="20"/>
      <w:szCs w:val="20"/>
    </w:rPr>
  </w:style>
  <w:style w:type="paragraph" w:customStyle="1" w:styleId="149">
    <w:name w:val="xl85"/>
    <w:basedOn w:val="1"/>
    <w:uiPriority w:val="0"/>
    <w:pPr>
      <w:widowControl/>
      <w:pBdr>
        <w:top w:val="single" w:color="auto" w:sz="4" w:space="0"/>
        <w:left w:val="single" w:color="auto" w:sz="4" w:space="0"/>
        <w:right w:val="single" w:color="auto" w:sz="4" w:space="0"/>
      </w:pBdr>
      <w:shd w:val="clear" w:color="000000" w:fill="FFFF99"/>
      <w:spacing w:before="100" w:beforeAutospacing="1" w:after="100" w:afterAutospacing="1"/>
    </w:pPr>
    <w:rPr>
      <w:rFonts w:ascii="宋体" w:hAnsi="宋体" w:cs="宋体"/>
      <w:kern w:val="0"/>
      <w:sz w:val="20"/>
      <w:szCs w:val="20"/>
    </w:rPr>
  </w:style>
  <w:style w:type="paragraph" w:customStyle="1" w:styleId="150">
    <w:name w:val="xl86"/>
    <w:basedOn w:val="1"/>
    <w:uiPriority w:val="0"/>
    <w:pPr>
      <w:widowControl/>
      <w:pBdr>
        <w:top w:val="single" w:color="auto" w:sz="4" w:space="0"/>
        <w:left w:val="single" w:color="auto" w:sz="4" w:space="0"/>
        <w:bottom w:val="single" w:color="auto" w:sz="4" w:space="0"/>
        <w:right w:val="single" w:color="auto" w:sz="4" w:space="0"/>
      </w:pBdr>
      <w:shd w:val="clear" w:color="000000" w:fill="FFFF99"/>
      <w:spacing w:before="100" w:beforeAutospacing="1" w:after="100" w:afterAutospacing="1"/>
      <w:jc w:val="center"/>
    </w:pPr>
    <w:rPr>
      <w:rFonts w:ascii="宋体" w:hAnsi="宋体" w:cs="宋体"/>
      <w:kern w:val="0"/>
      <w:sz w:val="20"/>
      <w:szCs w:val="20"/>
    </w:rPr>
  </w:style>
  <w:style w:type="paragraph" w:customStyle="1" w:styleId="15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pPr>
    <w:rPr>
      <w:rFonts w:ascii="宋体" w:hAnsi="宋体" w:cs="宋体"/>
      <w:kern w:val="0"/>
      <w:sz w:val="20"/>
      <w:szCs w:val="20"/>
    </w:rPr>
  </w:style>
  <w:style w:type="paragraph" w:customStyle="1" w:styleId="152">
    <w:name w:val="xl88"/>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left"/>
    </w:pPr>
    <w:rPr>
      <w:rFonts w:ascii="宋体" w:hAnsi="宋体" w:cs="宋体"/>
      <w:kern w:val="0"/>
      <w:sz w:val="20"/>
      <w:szCs w:val="20"/>
    </w:rPr>
  </w:style>
  <w:style w:type="paragraph" w:customStyle="1" w:styleId="153">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left"/>
    </w:pPr>
    <w:rPr>
      <w:rFonts w:ascii="宋体" w:hAnsi="宋体" w:cs="宋体"/>
      <w:kern w:val="0"/>
      <w:sz w:val="20"/>
      <w:szCs w:val="20"/>
    </w:rPr>
  </w:style>
  <w:style w:type="paragraph" w:customStyle="1" w:styleId="154">
    <w:name w:val="xl90"/>
    <w:basedOn w:val="1"/>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pPr>
    <w:rPr>
      <w:rFonts w:ascii="宋体" w:hAnsi="宋体" w:cs="宋体"/>
      <w:kern w:val="0"/>
      <w:sz w:val="20"/>
      <w:szCs w:val="20"/>
    </w:rPr>
  </w:style>
  <w:style w:type="paragraph" w:customStyle="1" w:styleId="155">
    <w:name w:val="xl91"/>
    <w:basedOn w:val="1"/>
    <w:qFormat/>
    <w:uiPriority w:val="0"/>
    <w:pPr>
      <w:widowControl/>
      <w:pBdr>
        <w:top w:val="single" w:color="auto" w:sz="4" w:space="0"/>
        <w:left w:val="single" w:color="auto" w:sz="4" w:space="0"/>
        <w:bottom w:val="single" w:color="auto" w:sz="4" w:space="0"/>
        <w:right w:val="single" w:color="auto" w:sz="4" w:space="0"/>
      </w:pBdr>
      <w:shd w:val="clear" w:color="000000" w:fill="A9D08E"/>
      <w:spacing w:before="100" w:beforeAutospacing="1" w:after="100" w:afterAutospacing="1"/>
      <w:jc w:val="center"/>
    </w:pPr>
    <w:rPr>
      <w:rFonts w:ascii="宋体" w:hAnsi="宋体" w:cs="宋体"/>
      <w:kern w:val="0"/>
      <w:sz w:val="20"/>
      <w:szCs w:val="20"/>
    </w:rPr>
  </w:style>
  <w:style w:type="paragraph" w:customStyle="1" w:styleId="156">
    <w:name w:val="xl92"/>
    <w:basedOn w:val="1"/>
    <w:qFormat/>
    <w:uiPriority w:val="0"/>
    <w:pPr>
      <w:widowControl/>
      <w:pBdr>
        <w:top w:val="single" w:color="auto" w:sz="4" w:space="0"/>
        <w:left w:val="single" w:color="auto" w:sz="4" w:space="0"/>
        <w:right w:val="single" w:color="auto" w:sz="4" w:space="0"/>
      </w:pBdr>
      <w:shd w:val="clear" w:color="000000" w:fill="D9E1F2"/>
      <w:spacing w:before="100" w:beforeAutospacing="1" w:after="100" w:afterAutospacing="1"/>
      <w:jc w:val="left"/>
    </w:pPr>
    <w:rPr>
      <w:rFonts w:ascii="宋体" w:hAnsi="宋体" w:cs="宋体"/>
      <w:kern w:val="0"/>
      <w:sz w:val="20"/>
      <w:szCs w:val="20"/>
    </w:rPr>
  </w:style>
  <w:style w:type="paragraph" w:customStyle="1" w:styleId="157">
    <w:name w:val="xl93"/>
    <w:basedOn w:val="1"/>
    <w:uiPriority w:val="0"/>
    <w:pPr>
      <w:widowControl/>
      <w:pBdr>
        <w:top w:val="single" w:color="auto" w:sz="4" w:space="0"/>
        <w:left w:val="single" w:color="auto" w:sz="4" w:space="0"/>
        <w:bottom w:val="single" w:color="auto" w:sz="4" w:space="0"/>
        <w:right w:val="single" w:color="auto" w:sz="4" w:space="0"/>
      </w:pBdr>
      <w:shd w:val="clear" w:color="000000" w:fill="D9E1F2"/>
      <w:spacing w:before="100" w:beforeAutospacing="1" w:after="100" w:afterAutospacing="1"/>
      <w:jc w:val="center"/>
    </w:pPr>
    <w:rPr>
      <w:rFonts w:ascii="宋体" w:hAnsi="宋体" w:cs="宋体"/>
      <w:kern w:val="0"/>
      <w:sz w:val="20"/>
      <w:szCs w:val="20"/>
    </w:rPr>
  </w:style>
  <w:style w:type="paragraph" w:customStyle="1" w:styleId="158">
    <w:name w:val="xl94"/>
    <w:basedOn w:val="1"/>
    <w:qFormat/>
    <w:uiPriority w:val="0"/>
    <w:pPr>
      <w:widowControl/>
      <w:pBdr>
        <w:top w:val="single" w:color="auto" w:sz="4" w:space="0"/>
        <w:left w:val="single" w:color="auto" w:sz="4" w:space="0"/>
        <w:bottom w:val="single" w:color="auto" w:sz="4" w:space="0"/>
        <w:right w:val="single" w:color="auto" w:sz="4" w:space="0"/>
      </w:pBdr>
      <w:shd w:val="clear" w:color="000000" w:fill="D9E1F2"/>
      <w:spacing w:before="100" w:beforeAutospacing="1" w:after="100" w:afterAutospacing="1"/>
      <w:jc w:val="center"/>
    </w:pPr>
    <w:rPr>
      <w:rFonts w:ascii="宋体" w:hAnsi="宋体" w:cs="宋体"/>
      <w:kern w:val="0"/>
      <w:sz w:val="20"/>
      <w:szCs w:val="20"/>
    </w:rPr>
  </w:style>
  <w:style w:type="paragraph" w:customStyle="1" w:styleId="159">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60">
    <w:name w:val="xl96"/>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61">
    <w:name w:val="xl97"/>
    <w:basedOn w:val="1"/>
    <w:uiPriority w:val="0"/>
    <w:pPr>
      <w:widowControl/>
      <w:pBdr>
        <w:top w:val="single" w:color="auto" w:sz="4" w:space="0"/>
        <w:left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62">
    <w:name w:val="xl98"/>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63">
    <w:name w:val="xl99"/>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64">
    <w:name w:val="xl100"/>
    <w:basedOn w:val="1"/>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65">
    <w:name w:val="xl10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FF0000"/>
      <w:kern w:val="0"/>
      <w:sz w:val="20"/>
      <w:szCs w:val="20"/>
    </w:rPr>
  </w:style>
  <w:style w:type="paragraph" w:customStyle="1" w:styleId="166">
    <w:name w:val="xl102"/>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67">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68">
    <w:name w:val="xl10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169">
    <w:name w:val="xl10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70">
    <w:name w:val="xl106"/>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71">
    <w:name w:val="xl107"/>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72">
    <w:name w:val="xl10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cs="宋体"/>
      <w:color w:val="FF0000"/>
      <w:kern w:val="0"/>
      <w:sz w:val="20"/>
      <w:szCs w:val="20"/>
    </w:rPr>
  </w:style>
  <w:style w:type="paragraph" w:customStyle="1" w:styleId="173">
    <w:name w:val="xl109"/>
    <w:basedOn w:val="1"/>
    <w:uiPriority w:val="0"/>
    <w:pPr>
      <w:widowControl/>
      <w:pBdr>
        <w:top w:val="single" w:color="auto" w:sz="4" w:space="0"/>
        <w:left w:val="single" w:color="auto" w:sz="4" w:space="0"/>
        <w:right w:val="single" w:color="auto" w:sz="4" w:space="0"/>
      </w:pBdr>
      <w:spacing w:before="100" w:beforeAutospacing="1" w:after="100" w:afterAutospacing="1"/>
    </w:pPr>
    <w:rPr>
      <w:rFonts w:ascii="宋体" w:hAnsi="宋体" w:cs="宋体"/>
      <w:color w:val="FF0000"/>
      <w:kern w:val="0"/>
      <w:sz w:val="20"/>
      <w:szCs w:val="20"/>
    </w:rPr>
  </w:style>
  <w:style w:type="paragraph" w:customStyle="1" w:styleId="174">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宋体" w:hAnsi="宋体" w:cs="宋体"/>
      <w:color w:val="FF0000"/>
      <w:kern w:val="0"/>
      <w:sz w:val="20"/>
      <w:szCs w:val="20"/>
    </w:rPr>
  </w:style>
  <w:style w:type="paragraph" w:customStyle="1" w:styleId="175">
    <w:name w:val="xl111"/>
    <w:basedOn w:val="1"/>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FF0000"/>
      <w:kern w:val="0"/>
      <w:sz w:val="20"/>
      <w:szCs w:val="20"/>
    </w:rPr>
  </w:style>
  <w:style w:type="paragraph" w:customStyle="1" w:styleId="176">
    <w:name w:val="xl112"/>
    <w:basedOn w:val="1"/>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pPr>
    <w:rPr>
      <w:rFonts w:ascii="宋体" w:hAnsi="宋体" w:cs="宋体"/>
      <w:kern w:val="0"/>
      <w:szCs w:val="21"/>
    </w:rPr>
  </w:style>
  <w:style w:type="paragraph" w:customStyle="1" w:styleId="177">
    <w:name w:val="xl113"/>
    <w:basedOn w:val="1"/>
    <w:qFormat/>
    <w:uiPriority w:val="0"/>
    <w:pPr>
      <w:widowControl/>
      <w:pBdr>
        <w:top w:val="single" w:color="auto" w:sz="8" w:space="0"/>
        <w:bottom w:val="single" w:color="auto" w:sz="8" w:space="0"/>
        <w:right w:val="single" w:color="auto" w:sz="8" w:space="0"/>
      </w:pBdr>
      <w:spacing w:before="100" w:beforeAutospacing="1" w:after="100" w:afterAutospacing="1"/>
    </w:pPr>
    <w:rPr>
      <w:rFonts w:ascii="宋体" w:hAnsi="宋体" w:cs="宋体"/>
      <w:kern w:val="0"/>
      <w:szCs w:val="21"/>
    </w:rPr>
  </w:style>
  <w:style w:type="paragraph" w:customStyle="1" w:styleId="178">
    <w:name w:val="xl114"/>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i/>
      <w:iCs/>
      <w:kern w:val="0"/>
      <w:sz w:val="20"/>
      <w:szCs w:val="20"/>
    </w:rPr>
  </w:style>
  <w:style w:type="paragraph" w:customStyle="1" w:styleId="179">
    <w:name w:val="xl115"/>
    <w:basedOn w:val="1"/>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0">
    <w:name w:val="xl116"/>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1">
    <w:name w:val="xl117"/>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2">
    <w:name w:val="xl118"/>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3">
    <w:name w:val="xl119"/>
    <w:basedOn w:val="1"/>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4">
    <w:name w:val="xl120"/>
    <w:basedOn w:val="1"/>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85">
    <w:name w:val="xl121"/>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6">
    <w:name w:val="xl122"/>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87">
    <w:name w:val="xl123"/>
    <w:basedOn w:val="1"/>
    <w:uiPriority w:val="0"/>
    <w:pPr>
      <w:widowControl/>
      <w:pBdr>
        <w:left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88">
    <w:name w:val="xl124"/>
    <w:basedOn w:val="1"/>
    <w:qFormat/>
    <w:uiPriority w:val="0"/>
    <w:pPr>
      <w:widowControl/>
      <w:pBdr>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89">
    <w:name w:val="xl12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0">
    <w:name w:val="xl126"/>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1">
    <w:name w:val="xl12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2">
    <w:name w:val="xl128"/>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3">
    <w:name w:val="xl129"/>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4">
    <w:name w:val="xl130"/>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5">
    <w:name w:val="xl13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6">
    <w:name w:val="xl132"/>
    <w:basedOn w:val="1"/>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7">
    <w:name w:val="xl133"/>
    <w:basedOn w:val="1"/>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98">
    <w:name w:val="xl134"/>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199">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0">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1">
    <w:name w:val="xl137"/>
    <w:basedOn w:val="1"/>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2">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C000"/>
      <w:spacing w:before="100" w:beforeAutospacing="1" w:after="100" w:afterAutospacing="1"/>
      <w:jc w:val="center"/>
    </w:pPr>
    <w:rPr>
      <w:rFonts w:ascii="宋体" w:hAnsi="宋体" w:cs="宋体"/>
      <w:kern w:val="0"/>
      <w:sz w:val="20"/>
      <w:szCs w:val="20"/>
    </w:rPr>
  </w:style>
  <w:style w:type="paragraph" w:customStyle="1" w:styleId="203">
    <w:name w:val="省政数正文"/>
    <w:basedOn w:val="1"/>
    <w:link w:val="204"/>
    <w:qFormat/>
    <w:uiPriority w:val="0"/>
    <w:pPr>
      <w:widowControl/>
      <w:adjustRightInd w:val="0"/>
      <w:snapToGrid w:val="0"/>
      <w:spacing w:line="360" w:lineRule="auto"/>
      <w:ind w:firstLine="200" w:firstLineChars="200"/>
    </w:pPr>
    <w:rPr>
      <w:color w:val="000000"/>
      <w:kern w:val="0"/>
      <w:sz w:val="28"/>
      <w:szCs w:val="24"/>
    </w:rPr>
  </w:style>
  <w:style w:type="character" w:customStyle="1" w:styleId="204">
    <w:name w:val="省政数正文 字符"/>
    <w:link w:val="203"/>
    <w:qFormat/>
    <w:uiPriority w:val="0"/>
    <w:rPr>
      <w:rFonts w:cs="宋体"/>
      <w:color w:val="000000"/>
      <w:sz w:val="28"/>
      <w:szCs w:val="24"/>
    </w:rPr>
  </w:style>
  <w:style w:type="paragraph" w:customStyle="1" w:styleId="205">
    <w:name w:val="null3"/>
    <w:qFormat/>
    <w:uiPriority w:val="0"/>
    <w:rPr>
      <w:rFonts w:hint="eastAsia" w:ascii="Calibri" w:hAnsi="Calibri" w:eastAsia="宋体" w:cs="Times New Roman"/>
      <w:lang w:val="en-US" w:eastAsia="zh-Hans"/>
    </w:rPr>
  </w:style>
  <w:style w:type="table" w:customStyle="1" w:styleId="206">
    <w:name w:val="Table Normal"/>
    <w:semiHidden/>
    <w:unhideWhenUsed/>
    <w:qFormat/>
    <w:uiPriority w:val="0"/>
    <w:tblPr>
      <w:tblCellMar>
        <w:top w:w="0" w:type="dxa"/>
        <w:left w:w="0" w:type="dxa"/>
        <w:bottom w:w="0" w:type="dxa"/>
        <w:right w:w="0" w:type="dxa"/>
      </w:tblCellMar>
    </w:tblPr>
  </w:style>
  <w:style w:type="paragraph" w:customStyle="1" w:styleId="207">
    <w:name w:val="Table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7421</Words>
  <Characters>7558</Characters>
  <Lines>145</Lines>
  <Paragraphs>40</Paragraphs>
  <TotalTime>9</TotalTime>
  <ScaleCrop>false</ScaleCrop>
  <LinksUpToDate>false</LinksUpToDate>
  <CharactersWithSpaces>7560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2015-05-11T20:59:00Z</dcterms:created>
  <dc:creator>Administrator</dc:creator>
  <cp:lastModifiedBy>黄勇刚</cp:lastModifiedBy>
  <cp:lastPrinted>2024-06-06T01:39:00Z</cp:lastPrinted>
  <dcterms:modified xsi:type="dcterms:W3CDTF">2025-03-14T08:50:55Z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_2015_ms_pID_725343">
    <vt:lpwstr>(2)B9KmGeBIZNZ56ktoVAuXZ2SCahwUG5WGTcYmbouQZRfNxr0GKlkMDS8fnp2Ng76FhkuzHoWE
Dop8g8vJZZFO8zgHQe+J+c1ES/r5hHHXdZcahLXGGz3lWdJMiB26n9ToJ/2A6dA7crZ5UR6n
CVSnV3EVPAR+Y7YenyIVnIU/Z0ZqoeT2aTBIGrcZ90r/dmw1kqzgFt/G3GHNmV41DNnlY5OK
3IwXjXrGfeiUCZHCMq</vt:lpwstr>
  </property>
  <property fmtid="{D5CDD505-2E9C-101B-9397-08002B2CF9AE}" pid="4" name="_2015_ms_pID_7253431">
    <vt:lpwstr>aRA2G8KkoeMFINMZk8+/JnasDdxf7sH9hAkzOQw0X6Ha+oJwOk5hp1
w9yXzD8D0uNzGwkdJ9aUT2l03nUuMEM2aBo6q16Nuo7DrbrBVHJLLqGLiQeLRC+5Xhe1IiVo
lOu/n5Nxf1L2o78Ns/LbvQI2TuQIydUhn4xgGci/3T9+nTq26bPXDRNQfEinq+Jk0g4=</vt:lpwstr>
  </property>
  <property fmtid="{D5CDD505-2E9C-101B-9397-08002B2CF9AE}" pid="5" name="_readonly">
    <vt:lpwstr/>
  </property>
  <property fmtid="{D5CDD505-2E9C-101B-9397-08002B2CF9AE}" pid="6" name="_change">
    <vt:lpwstr/>
  </property>
  <property fmtid="{D5CDD505-2E9C-101B-9397-08002B2CF9AE}" pid="7" name="_full-control">
    <vt:lpwstr/>
  </property>
  <property fmtid="{D5CDD505-2E9C-101B-9397-08002B2CF9AE}" pid="8" name="sflag">
    <vt:lpwstr>1559728758</vt:lpwstr>
  </property>
  <property fmtid="{D5CDD505-2E9C-101B-9397-08002B2CF9AE}" pid="9" name="ribbonExt">
    <vt:lpwstr>{"WPSExtOfficeTab":{"OnGetEnabled":false,"OnGetVisible":false}}</vt:lpwstr>
  </property>
  <property fmtid="{D5CDD505-2E9C-101B-9397-08002B2CF9AE}" pid="10" name="ICV">
    <vt:lpwstr>D327698A79D64449B57B2FA8B0670FA0_13</vt:lpwstr>
  </property>
  <property fmtid="{D5CDD505-2E9C-101B-9397-08002B2CF9AE}" pid="11" name="慧眼令牌">
    <vt:lpwstr>eyJraWQiOiJvYSIsInR5cCI6IkpXVCIsImFsZyI6IkhTMjU2In0.eyJzdWIiOiJPQS1MT0dJTiIsIm5iZiI6MTY4ODk2NzI4MiwiY29ycElkIjoiIiwibWFpbkFjY291bnQiOiIiLCJpc3MiOiJFWE9BIiwibmFtZSI6IuWnnOW8uuelliIsImV4cCI6MjAwNDMzMDg4MiwiaWF0IjoxNjg4OTcwMjgyLCJ1c2VySWQiOjEwNTAyLCJqdGkiOiJ</vt:lpwstr>
  </property>
  <property fmtid="{D5CDD505-2E9C-101B-9397-08002B2CF9AE}" pid="12" name="KSOTemplateDocerSaveRecord">
    <vt:lpwstr>eyJoZGlkIjoiODY5ZTQwZmU0MDU3ZTNkZGI5YzVmMTAyODYwYjVmZjYiLCJ1c2VySWQiOiIzNjc4OTI1NzkifQ==</vt:lpwstr>
  </property>
</Properties>
</file>